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00000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KJSCE/IT/SY/SEM III/DCN/2022-23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1" w:line="240" w:lineRule="auto"/>
        <w:ind w:left="181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Experiment No. 4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1313121</wp:posOffset>
            </wp:positionH>
            <wp:positionV relativeFrom="paragraph">
              <wp:posOffset>-657224</wp:posOffset>
            </wp:positionV>
            <wp:extent cx="1374648" cy="2028444"/>
            <wp:effectExtent l="0" t="0" r="0" b="0"/>
            <wp:wrapSquare wrapText="bothSides" distT="19050" distB="19050" distL="19050" distR="190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18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Title: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 Header implementation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8" w:line="240" w:lineRule="auto"/>
        <w:ind w:right="2439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(A Constituent College of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Somaiya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Vidyavihar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University)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KJSCE/IT/SY/SEM III/DCN/2022-23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459" w:lineRule="auto"/>
        <w:ind w:left="429" w:right="276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Batch: Roll No.: Experiment No. 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 program to implement TCP header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459" w:lineRule="auto"/>
        <w:ind w:left="433" w:right="80" w:hanging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____________________________________________________ Resources Used: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 /C/C++/Python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459" w:lineRule="auto"/>
        <w:ind w:left="435" w:right="80" w:hanging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___________________________________________________________________________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Theory: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63" w:lineRule="auto"/>
        <w:ind w:left="428" w:right="-4" w:firstLine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transport service is implemented by a transport protocol used between the two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transport  entities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Transport protocols resemble the data link protocols. Both have to deal with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error  control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sequencing, and flow control, among other issues. Difference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 are due to major dissimilarities between the environments in which the two protocols operate. The Internet has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two  main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protocols in the transport layer, Connectionless protocol: UDP Connection-oriented  protocol: TCP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(Transmission Control Protocol)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was designed to provide a reliable end-to end byte stream over an unreliable internetwork .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64" w:lineRule="auto"/>
        <w:ind w:left="428" w:right="-4" w:firstLine="6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The TCP Protocol: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Every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byte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on a TCP connection has its own 32-bit sequence number.  Separate 32-bit sequence numbers are used for acknowledgements and for the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window  mechanism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 The sending and receiving TCP entities exchange data in the form of segments. A  TCP segment c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onsists of a fixed 20-byte header (plus an optional part) followed by zero or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more  data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bytes. Two limits restrict the segment size. Each segment, including the TCP header, must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fit  in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65,515-byte IP payload. Each network has a Maximum Transfer Unit,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or MTU, and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each  segment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must fit in the MTU. In practice, the MTU is generally 1500 bytes (the Ethernet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payload  size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 and thus defines the upper bound on segment size. A segment that is too large for a n/w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  be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broken into multiple segments by a rou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ter. The basic protocol used by TCP entities is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sliding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window protocol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When a sender transmits a segment, it also starts a timer. When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  segment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arrives at the destination, the receiving TCP entity sends back a segment (with data if  any exist, o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therwise without data) bearing an acknowledgement number equal to the next  sequence number it expects to receive. If the sender's timer goes off before the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acknowledgement  is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received, the sender transmits the segment again. 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6238875</wp:posOffset>
            </wp:positionH>
            <wp:positionV relativeFrom="paragraph">
              <wp:posOffset>828675</wp:posOffset>
            </wp:positionV>
            <wp:extent cx="1374648" cy="2028444"/>
            <wp:effectExtent l="0" t="0" r="0" b="0"/>
            <wp:wrapSquare wrapText="bothSides" distT="19050" distB="19050" distL="19050" distR="1905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64" w:lineRule="auto"/>
        <w:ind w:left="428" w:right="-4" w:firstLine="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The TCP Segment Header: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Source port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Destination port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fields identify the local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end  points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of the connection. A port plus its host's IP address forms a 48-bit unique end point (TSAP).  The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Sequence number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defines the number of the first data byte contained in that segment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nd 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Acknowledgement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number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specifies the next byte expected, not the last byte correctly received.  Both are 32 bits long. The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TCP header length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tells how many 32-bit words are contained in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  TCP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header.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1" w:line="240" w:lineRule="auto"/>
        <w:ind w:right="2439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(A Constituent College of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Somaiya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Vidyavihar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Univ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ersity)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KJSCE/IT/SY/SEM III/DCN/2022-23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0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________________________________________________________________________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2196795</wp:posOffset>
            </wp:positionH>
            <wp:positionV relativeFrom="paragraph">
              <wp:posOffset>-404240</wp:posOffset>
            </wp:positionV>
            <wp:extent cx="1374648" cy="2028444"/>
            <wp:effectExtent l="0" t="0" r="0" b="0"/>
            <wp:wrapSquare wrapText="bothSides" distT="19050" distB="19050" distL="19050" distR="1905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4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Activity: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0" w:right="-6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to accept the input in the hexadecimal form (continuous string)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of each field of TCP header.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__________________________________________________________________________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mylist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list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"Enter Hexadecimal va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lue to identify TCP header(Enter 40 values)(Enter values from 1-9 and A-F):"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#if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mylist</w:t>
      </w:r>
      <w:proofErr w:type="spell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: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#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"Your input is correct"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mylist1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[]</w:t>
      </w:r>
      <w:proofErr w:type="gramEnd"/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mylist2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[]</w:t>
      </w:r>
      <w:proofErr w:type="gramEnd"/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mylist3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[]</w:t>
      </w:r>
      <w:proofErr w:type="gramEnd"/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mylist4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[]</w:t>
      </w:r>
      <w:proofErr w:type="gramEnd"/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mylist5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[]</w:t>
      </w:r>
      <w:proofErr w:type="gramEnd"/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mylist6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#reserved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mylist7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#flag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mylist8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[]</w:t>
      </w:r>
      <w:proofErr w:type="gramEnd"/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mylist9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[]</w:t>
      </w:r>
      <w:proofErr w:type="gramEnd"/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mylist10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[]</w:t>
      </w:r>
      <w:proofErr w:type="gramEnd"/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i in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):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mylist1.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mylist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[i])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str1=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""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"Your source port address is:"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,str1.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(mylist1))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i in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):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mylist2.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mylist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[i])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str2=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""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"Your Destination port address is:"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,str2.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(mylist2))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i in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16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):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mylist3.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mylist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[i])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str3=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""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"Your Sequence Number is:"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,str3.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(mylist3))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i in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16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):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mylist4.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mylist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[i])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str4=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""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"Your Acknowledgment Number is:"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,str4.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(mylist4))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i in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):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mylist5.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mylist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[i])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str5=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""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"Your HLEN is:"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,str5.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(mylist5))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i in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28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):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mylist6.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mylist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[i])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j in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):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mylist7.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"{0:04b}"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format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mylist6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[j])))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mylist7)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str6=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""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str7=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str6.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mylist7)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str7)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"Your Reserved number is:"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str7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])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"Your Flag number is:"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str7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])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i in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28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):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mylist8.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mylist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[i])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str8=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""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"Your Window size is:"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,str8.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(mylist8))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i in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36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):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mylist9.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mylist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[i])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str9=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""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"Your Checksum is:"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,str9.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(mylist9))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i in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36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):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mylist10.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mylist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[i])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str10=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""</w:t>
      </w:r>
    </w:p>
    <w:p w:rsidR="00B62AA6" w:rsidRDefault="0075330E">
      <w:pPr>
        <w:widowControl w:val="0"/>
        <w:shd w:val="clear" w:color="auto" w:fill="1E1E1E"/>
        <w:spacing w:before="6" w:line="325" w:lineRule="auto"/>
        <w:ind w:left="431" w:right="200" w:hanging="3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"Your Urgent pointer is:"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,str10.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(mylist10))</w:t>
      </w:r>
    </w:p>
    <w:p w:rsidR="00B62AA6" w:rsidRDefault="00B62A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431" w:right="200" w:hanging="3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6" w:line="460" w:lineRule="auto"/>
        <w:ind w:left="436" w:right="320" w:hanging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_________________________________________________________________________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14300" distB="114300" distL="114300" distR="114300">
            <wp:extent cx="6041232" cy="1866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1232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3" w:line="459" w:lineRule="auto"/>
        <w:ind w:left="436" w:right="200" w:hanging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__________________________________________________________________________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Questions: 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right="410"/>
        <w:jc w:val="righ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1) The unit of data transfer between two devices using TCP is called _______________. 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left="794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2) Which type of addressing is used at Transport Layer? 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6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highlight w:val="yellow"/>
        </w:rPr>
        <w:t>a) Port addressing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b) Logical addressing 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3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c) Physical Addressing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right="2439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(A Constituent College of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Somaiya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Vidyavihar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University)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KJSCE/IT/SY/SEM III/DCN/2022-23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1153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d) None of the Above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What is the difference between TCP and UDP?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436" w:right="627" w:hanging="43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_______________________________________________________________________ Outcomes: </w:t>
      </w:r>
    </w:p>
    <w:p w:rsidR="00B62AA6" w:rsidRDefault="0075330E">
      <w:pPr>
        <w:widowControl w:val="0"/>
        <w:spacing w:before="271" w:line="229" w:lineRule="auto"/>
        <w:ind w:left="1156" w:right="627" w:hanging="4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CO2: Enumerate the layers of the OSI model and the TCP/IP model, their functions and protocols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2" w:line="229" w:lineRule="auto"/>
        <w:ind w:left="439" w:right="80" w:hanging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___________________________________________________________________________ Conclusion:  </w:t>
      </w:r>
    </w:p>
    <w:p w:rsidR="00B62AA6" w:rsidRDefault="0075330E">
      <w:pPr>
        <w:widowControl w:val="0"/>
        <w:spacing w:before="271" w:line="229" w:lineRule="auto"/>
        <w:ind w:left="436" w:right="62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We understood about the different layers of the TCP model and also wrote a program to show values of each TCP header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4" w:line="460" w:lineRule="auto"/>
        <w:ind w:left="436" w:right="200" w:hanging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__________________________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Grade: AA / AB / BB / BC / CC / CD /DD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2191157</wp:posOffset>
            </wp:positionH>
            <wp:positionV relativeFrom="paragraph">
              <wp:posOffset>-410336</wp:posOffset>
            </wp:positionV>
            <wp:extent cx="1374648" cy="2028444"/>
            <wp:effectExtent l="0" t="0" r="0" b="0"/>
            <wp:wrapSquare wrapText="bothSides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9" w:line="240" w:lineRule="auto"/>
        <w:ind w:left="43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Signature of faculty in-charge with date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43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References: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4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Books/ Journals/ Websites: 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20" w:lineRule="auto"/>
        <w:ind w:left="1151" w:right="476" w:hanging="3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Behrouz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Forouzan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Data Communication and Networking, Tata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hill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India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4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Edition 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80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A. 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Tanenbaum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“Computer Networks”, 4th edition, Prentice Hall</w:t>
      </w:r>
    </w:p>
    <w:p w:rsidR="00B62AA6" w:rsidRDefault="00753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3" w:line="240" w:lineRule="auto"/>
        <w:ind w:right="2439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(A Constituent College of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Somaiya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Vidyavihar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University) </w:t>
      </w:r>
    </w:p>
    <w:sectPr w:rsidR="00B62AA6">
      <w:pgSz w:w="11900" w:h="16820"/>
      <w:pgMar w:top="691" w:right="1378" w:bottom="1296" w:left="101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2AA6"/>
    <w:rsid w:val="0075330E"/>
    <w:rsid w:val="00B6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2022-09-15T11:26:00Z</dcterms:created>
  <dcterms:modified xsi:type="dcterms:W3CDTF">2022-09-15T11:26:00Z</dcterms:modified>
</cp:coreProperties>
</file>