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
        <w:jc w:val="center"/>
      </w:pPr>
      <w:r>
        <w:rPr>
          <w:rFonts w:ascii="Times New Roman" w:cs="Times New Roman" w:eastAsia="Times New Roman" w:hAnsi="Times New Roman"/>
          <w:b/>
          <w:bCs/>
          <w:color w:val="000000"/>
          <w:sz w:val="36"/>
          <w:szCs w:val="36"/>
        </w:rPr>
        <w:t xml:space="preserve">Student Academic Performance Analysis Report</w:t>
      </w:r>
    </w:p>
    <w:p>
      <w:pPr>
        <w:pStyle w:val="Heading1"/>
      </w:pPr>
      <w:r>
        <w:t xml:space="preserve">1. Objective</w:t>
      </w:r>
    </w:p>
    <w:p>
      <w:pPr>
        <w:spacing w:after="160"/>
      </w:pPr>
      <w:r>
        <w:rPr>
          <w:rFonts w:ascii="Times New Roman" w:cs="Times New Roman" w:eastAsia="Times New Roman" w:hAnsi="Times New Roman"/>
          <w:sz w:val="24"/>
          <w:szCs w:val="24"/>
        </w:rPr>
        <w:t xml:space="preserve">The objective of this analysis is to identify the factors that influence student academic performance and derive actionable insights that can help educational institutions improve student outcomes.</w:t>
      </w:r>
    </w:p>
    <w:p>
      <w:pPr>
        <w:pStyle w:val="Heading1"/>
      </w:pPr>
      <w:r>
        <w:t xml:space="preserve">2. Dataset Summary</w:t>
      </w:r>
    </w:p>
    <w:p>
      <w:pPr>
        <w:spacing w:after="160"/>
      </w:pPr>
      <w:r>
        <w:rPr>
          <w:rFonts w:ascii="Times New Roman" w:cs="Times New Roman" w:eastAsia="Times New Roman" w:hAnsi="Times New Roman"/>
          <w:sz w:val="24"/>
          <w:szCs w:val="24"/>
        </w:rPr>
        <w:t xml:space="preserve">The dataset contains information about student demographics, study habits, attendance, educational resources, extracurricular participation, and academic performance.</w:t>
      </w:r>
    </w:p>
    <w:p>
      <w:pPr>
        <w:spacing w:after="80"/>
      </w:pPr>
      <w:r>
        <w:rPr>
          <w:rFonts w:ascii="Times New Roman" w:cs="Times New Roman" w:eastAsia="Times New Roman" w:hAnsi="Times New Roman"/>
          <w:b/>
          <w:bCs/>
          <w:sz w:val="24"/>
          <w:szCs w:val="24"/>
        </w:rPr>
        <w:t xml:space="preserve">Total Records: </w:t>
      </w:r>
      <w:r>
        <w:rPr>
          <w:rFonts w:ascii="Times New Roman" w:cs="Times New Roman" w:eastAsia="Times New Roman" w:hAnsi="Times New Roman"/>
          <w:sz w:val="24"/>
          <w:szCs w:val="24"/>
        </w:rPr>
        <w:t xml:space="preserve">6607</w:t>
      </w:r>
    </w:p>
    <w:p>
      <w:pPr>
        <w:spacing w:after="80"/>
      </w:pPr>
      <w:r>
        <w:rPr>
          <w:rFonts w:ascii="Times New Roman" w:cs="Times New Roman" w:eastAsia="Times New Roman" w:hAnsi="Times New Roman"/>
          <w:b/>
          <w:bCs/>
          <w:sz w:val="24"/>
          <w:szCs w:val="24"/>
        </w:rPr>
        <w:t xml:space="preserve">Target Variable: </w:t>
      </w:r>
      <w:r>
        <w:rPr>
          <w:rFonts w:ascii="Times New Roman" w:cs="Times New Roman" w:eastAsia="Times New Roman" w:hAnsi="Times New Roman"/>
          <w:sz w:val="24"/>
          <w:szCs w:val="24"/>
        </w:rPr>
        <w:t xml:space="preserve">Exam_Score</w:t>
      </w:r>
    </w:p>
    <w:p>
      <w:pPr>
        <w:spacing w:after="100" w:before="120"/>
      </w:pPr>
      <w:r>
        <w:rPr>
          <w:rFonts w:ascii="Times New Roman" w:cs="Times New Roman" w:eastAsia="Times New Roman" w:hAnsi="Times New Roman"/>
          <w:b/>
          <w:bCs/>
          <w:sz w:val="24"/>
          <w:szCs w:val="24"/>
        </w:rPr>
        <w:t xml:space="preserve">Key Variables Analyzed:</w:t>
      </w:r>
    </w:p>
    <w:p>
      <w:pPr>
        <w:pStyle w:val="ListParagraph"/>
        <w:numPr>
          <w:ilvl w:val="0"/>
          <w:numId w:val="2"/>
        </w:numPr>
        <w:spacing w:after="80"/>
      </w:pPr>
      <w:r>
        <w:rPr>
          <w:rFonts w:ascii="Times New Roman" w:cs="Times New Roman" w:eastAsia="Times New Roman" w:hAnsi="Times New Roman"/>
          <w:sz w:val="24"/>
          <w:szCs w:val="24"/>
        </w:rPr>
        <w:t xml:space="preserve">Hours_Studied</w:t>
      </w:r>
    </w:p>
    <w:p>
      <w:pPr>
        <w:pStyle w:val="ListParagraph"/>
        <w:numPr>
          <w:ilvl w:val="0"/>
          <w:numId w:val="2"/>
        </w:numPr>
        <w:spacing w:after="80"/>
      </w:pPr>
      <w:r>
        <w:rPr>
          <w:rFonts w:ascii="Times New Roman" w:cs="Times New Roman" w:eastAsia="Times New Roman" w:hAnsi="Times New Roman"/>
          <w:sz w:val="24"/>
          <w:szCs w:val="24"/>
        </w:rPr>
        <w:t xml:space="preserve">Attendance</w:t>
      </w:r>
    </w:p>
    <w:p>
      <w:pPr>
        <w:pStyle w:val="ListParagraph"/>
        <w:numPr>
          <w:ilvl w:val="0"/>
          <w:numId w:val="2"/>
        </w:numPr>
        <w:spacing w:after="80"/>
      </w:pPr>
      <w:r>
        <w:rPr>
          <w:rFonts w:ascii="Times New Roman" w:cs="Times New Roman" w:eastAsia="Times New Roman" w:hAnsi="Times New Roman"/>
          <w:sz w:val="24"/>
          <w:szCs w:val="24"/>
        </w:rPr>
        <w:t xml:space="preserve">Previous_Scores</w:t>
      </w:r>
    </w:p>
    <w:p>
      <w:pPr>
        <w:pStyle w:val="ListParagraph"/>
        <w:numPr>
          <w:ilvl w:val="0"/>
          <w:numId w:val="2"/>
        </w:numPr>
        <w:spacing w:after="80"/>
      </w:pPr>
      <w:r>
        <w:rPr>
          <w:rFonts w:ascii="Times New Roman" w:cs="Times New Roman" w:eastAsia="Times New Roman" w:hAnsi="Times New Roman"/>
          <w:sz w:val="24"/>
          <w:szCs w:val="24"/>
        </w:rPr>
        <w:t xml:space="preserve">Extracurricular_Activities</w:t>
      </w:r>
    </w:p>
    <w:p>
      <w:pPr>
        <w:pStyle w:val="ListParagraph"/>
        <w:numPr>
          <w:ilvl w:val="0"/>
          <w:numId w:val="2"/>
        </w:numPr>
        <w:spacing w:after="80"/>
      </w:pPr>
      <w:r>
        <w:rPr>
          <w:rFonts w:ascii="Times New Roman" w:cs="Times New Roman" w:eastAsia="Times New Roman" w:hAnsi="Times New Roman"/>
          <w:sz w:val="24"/>
          <w:szCs w:val="24"/>
        </w:rPr>
        <w:t xml:space="preserve">Access_to_Resources</w:t>
      </w:r>
    </w:p>
    <w:p>
      <w:pPr>
        <w:pStyle w:val="ListParagraph"/>
        <w:numPr>
          <w:ilvl w:val="0"/>
          <w:numId w:val="2"/>
        </w:numPr>
        <w:spacing w:after="80"/>
      </w:pPr>
      <w:r>
        <w:rPr>
          <w:rFonts w:ascii="Times New Roman" w:cs="Times New Roman" w:eastAsia="Times New Roman" w:hAnsi="Times New Roman"/>
          <w:sz w:val="24"/>
          <w:szCs w:val="24"/>
        </w:rPr>
        <w:t xml:space="preserve">Motivation_Level</w:t>
      </w:r>
    </w:p>
    <w:p>
      <w:pPr>
        <w:pStyle w:val="ListParagraph"/>
        <w:numPr>
          <w:ilvl w:val="0"/>
          <w:numId w:val="2"/>
        </w:numPr>
        <w:spacing w:after="80"/>
      </w:pPr>
      <w:r>
        <w:rPr>
          <w:rFonts w:ascii="Times New Roman" w:cs="Times New Roman" w:eastAsia="Times New Roman" w:hAnsi="Times New Roman"/>
          <w:sz w:val="24"/>
          <w:szCs w:val="24"/>
        </w:rPr>
        <w:t xml:space="preserve">Teacher_Quality</w:t>
      </w:r>
    </w:p>
    <w:p>
      <w:pPr>
        <w:pStyle w:val="ListParagraph"/>
        <w:numPr>
          <w:ilvl w:val="0"/>
          <w:numId w:val="2"/>
        </w:numPr>
        <w:spacing w:after="80"/>
      </w:pPr>
      <w:r>
        <w:rPr>
          <w:rFonts w:ascii="Times New Roman" w:cs="Times New Roman" w:eastAsia="Times New Roman" w:hAnsi="Times New Roman"/>
          <w:sz w:val="24"/>
          <w:szCs w:val="24"/>
        </w:rPr>
        <w:t xml:space="preserve">Parental_Education_Level</w:t>
      </w:r>
    </w:p>
    <w:p>
      <w:pPr>
        <w:pStyle w:val="Heading1"/>
      </w:pPr>
      <w:r>
        <w:t xml:space="preserve">3. Analysis Approach</w:t>
      </w:r>
    </w:p>
    <w:p>
      <w:pPr>
        <w:spacing w:after="160"/>
      </w:pPr>
      <w:r>
        <w:rPr>
          <w:rFonts w:ascii="Times New Roman" w:cs="Times New Roman" w:eastAsia="Times New Roman" w:hAnsi="Times New Roman"/>
          <w:sz w:val="24"/>
          <w:szCs w:val="24"/>
        </w:rPr>
        <w:t xml:space="preserve">The analysis was conducted using the following steps:</w:t>
      </w:r>
    </w:p>
    <w:p>
      <w:pPr>
        <w:pStyle w:val="ListParagraph"/>
        <w:numPr>
          <w:ilvl w:val="0"/>
          <w:numId w:val="3"/>
        </w:numPr>
        <w:spacing w:after="80"/>
      </w:pPr>
      <w:r>
        <w:rPr>
          <w:rFonts w:ascii="Times New Roman" w:cs="Times New Roman" w:eastAsia="Times New Roman" w:hAnsi="Times New Roman"/>
          <w:sz w:val="24"/>
          <w:szCs w:val="24"/>
        </w:rPr>
        <w:t xml:space="preserve">Data loading and inspection.</w:t>
      </w:r>
    </w:p>
    <w:p>
      <w:pPr>
        <w:pStyle w:val="ListParagraph"/>
        <w:numPr>
          <w:ilvl w:val="0"/>
          <w:numId w:val="3"/>
        </w:numPr>
        <w:spacing w:after="80"/>
      </w:pPr>
      <w:r>
        <w:rPr>
          <w:rFonts w:ascii="Times New Roman" w:cs="Times New Roman" w:eastAsia="Times New Roman" w:hAnsi="Times New Roman"/>
          <w:sz w:val="24"/>
          <w:szCs w:val="24"/>
        </w:rPr>
        <w:t xml:space="preserve">Missing value detection and treatment.</w:t>
      </w:r>
    </w:p>
    <w:p>
      <w:pPr>
        <w:pStyle w:val="ListParagraph"/>
        <w:numPr>
          <w:ilvl w:val="0"/>
          <w:numId w:val="3"/>
        </w:numPr>
        <w:spacing w:after="80"/>
      </w:pPr>
      <w:r>
        <w:rPr>
          <w:rFonts w:ascii="Times New Roman" w:cs="Times New Roman" w:eastAsia="Times New Roman" w:hAnsi="Times New Roman"/>
          <w:sz w:val="24"/>
          <w:szCs w:val="24"/>
        </w:rPr>
        <w:t xml:space="preserve">Data cleaning and preprocessing.</w:t>
      </w:r>
    </w:p>
    <w:p>
      <w:pPr>
        <w:pStyle w:val="ListParagraph"/>
        <w:numPr>
          <w:ilvl w:val="0"/>
          <w:numId w:val="3"/>
        </w:numPr>
        <w:spacing w:after="80"/>
      </w:pPr>
      <w:r>
        <w:rPr>
          <w:rFonts w:ascii="Times New Roman" w:cs="Times New Roman" w:eastAsia="Times New Roman" w:hAnsi="Times New Roman"/>
          <w:sz w:val="24"/>
          <w:szCs w:val="24"/>
        </w:rPr>
        <w:t xml:space="preserve">Descriptive statistical analysis.</w:t>
      </w:r>
    </w:p>
    <w:p>
      <w:pPr>
        <w:pStyle w:val="ListParagraph"/>
        <w:numPr>
          <w:ilvl w:val="0"/>
          <w:numId w:val="3"/>
        </w:numPr>
        <w:spacing w:after="80"/>
      </w:pPr>
      <w:r>
        <w:rPr>
          <w:rFonts w:ascii="Times New Roman" w:cs="Times New Roman" w:eastAsia="Times New Roman" w:hAnsi="Times New Roman"/>
          <w:sz w:val="24"/>
          <w:szCs w:val="24"/>
        </w:rPr>
        <w:t xml:space="preserve">Visualization using histograms, scatter plots, box plots, and heatmaps.</w:t>
      </w:r>
    </w:p>
    <w:p>
      <w:pPr>
        <w:pStyle w:val="ListParagraph"/>
        <w:numPr>
          <w:ilvl w:val="0"/>
          <w:numId w:val="3"/>
        </w:numPr>
        <w:spacing w:after="80"/>
      </w:pPr>
      <w:r>
        <w:rPr>
          <w:rFonts w:ascii="Times New Roman" w:cs="Times New Roman" w:eastAsia="Times New Roman" w:hAnsi="Times New Roman"/>
          <w:sz w:val="24"/>
          <w:szCs w:val="24"/>
        </w:rPr>
        <w:t xml:space="preserve">Interpretation of trends and relationships among variables.</w:t>
      </w:r>
    </w:p>
    <w:p>
      <w:pPr>
        <w:pStyle w:val="Heading1"/>
      </w:pPr>
      <w:r>
        <w:t xml:space="preserve">4. Key Findings</w:t>
      </w:r>
    </w:p>
    <w:p>
      <w:pPr>
        <w:pStyle w:val="Heading2"/>
      </w:pPr>
      <w:r>
        <w:t xml:space="preserve">Finding 1: Attendance Positively Impacts Academic Performance</w:t>
      </w:r>
    </w:p>
    <w:p>
      <w:pPr>
        <w:spacing w:after="160"/>
      </w:pPr>
      <w:r>
        <w:rPr>
          <w:rFonts w:ascii="Times New Roman" w:cs="Times New Roman" w:eastAsia="Times New Roman" w:hAnsi="Times New Roman"/>
          <w:sz w:val="24"/>
          <w:szCs w:val="24"/>
        </w:rPr>
        <w:t xml:space="preserve">Students with higher attendance generally achieved better examination scores. The attendance-performance relationship suggests that regular classroom participation contributes significantly to learning outcomes.</w:t>
      </w:r>
    </w:p>
    <w:p>
      <w:pPr>
        <w:pStyle w:val="Heading2"/>
      </w:pPr>
      <w:r>
        <w:t xml:space="preserve">Finding 2: Study Hours Improve Performance</w:t>
      </w:r>
    </w:p>
    <w:p>
      <w:pPr>
        <w:spacing w:after="160"/>
      </w:pPr>
      <w:r>
        <w:rPr>
          <w:rFonts w:ascii="Times New Roman" w:cs="Times New Roman" w:eastAsia="Times New Roman" w:hAnsi="Times New Roman"/>
          <w:sz w:val="24"/>
          <w:szCs w:val="24"/>
        </w:rPr>
        <w:t xml:space="preserve">A positive relationship was observed between study hours and examination scores. Students investing more time in studying generally demonstrated stronger academic achievement.</w:t>
      </w:r>
    </w:p>
    <w:p>
      <w:pPr>
        <w:pStyle w:val="Heading2"/>
      </w:pPr>
      <w:r>
        <w:t xml:space="preserve">Finding 3: Previous Academic Performance Is a Strong Indicator</w:t>
      </w:r>
    </w:p>
    <w:p>
      <w:pPr>
        <w:spacing w:after="160"/>
      </w:pPr>
      <w:r>
        <w:rPr>
          <w:rFonts w:ascii="Times New Roman" w:cs="Times New Roman" w:eastAsia="Times New Roman" w:hAnsi="Times New Roman"/>
          <w:sz w:val="24"/>
          <w:szCs w:val="24"/>
        </w:rPr>
        <w:t xml:space="preserve">Students with higher previous scores often performed better in current examinations. This suggests that academic consistency plays an important role in future success.</w:t>
      </w:r>
    </w:p>
    <w:p>
      <w:pPr>
        <w:pStyle w:val="Heading2"/>
      </w:pPr>
      <w:r>
        <w:t xml:space="preserve">Finding 4: Extracurricular Participation Shows Positive Effects</w:t>
      </w:r>
    </w:p>
    <w:p>
      <w:pPr>
        <w:spacing w:after="160"/>
      </w:pPr>
      <w:r>
        <w:rPr>
          <w:rFonts w:ascii="Times New Roman" w:cs="Times New Roman" w:eastAsia="Times New Roman" w:hAnsi="Times New Roman"/>
          <w:sz w:val="24"/>
          <w:szCs w:val="24"/>
        </w:rPr>
        <w:t xml:space="preserve">Students participating in extracurricular activities displayed slightly higher median exam scores. This may indicate benefits associated with improved discipline, engagement, and time management.</w:t>
      </w:r>
    </w:p>
    <w:p>
      <w:pPr>
        <w:pStyle w:val="Heading2"/>
      </w:pPr>
      <w:r>
        <w:t xml:space="preserve">Finding 5: Access to Educational Resources Supports Learning</w:t>
      </w:r>
    </w:p>
    <w:p>
      <w:pPr>
        <w:spacing w:after="160"/>
      </w:pPr>
      <w:r>
        <w:rPr>
          <w:rFonts w:ascii="Times New Roman" w:cs="Times New Roman" w:eastAsia="Times New Roman" w:hAnsi="Times New Roman"/>
          <w:sz w:val="24"/>
          <w:szCs w:val="24"/>
        </w:rPr>
        <w:t xml:space="preserve">Students with better access to educational resources generally demonstrated stronger academic performance, highlighting the importance of learning support systems.</w:t>
      </w:r>
    </w:p>
    <w:p>
      <w:pPr>
        <w:pStyle w:val="Heading2"/>
      </w:pPr>
      <w:r>
        <w:t xml:space="preserve">Finding 6: Motivation Influences Outcomes</w:t>
      </w:r>
    </w:p>
    <w:p>
      <w:pPr>
        <w:spacing w:after="160"/>
      </w:pPr>
      <w:r>
        <w:rPr>
          <w:rFonts w:ascii="Times New Roman" w:cs="Times New Roman" w:eastAsia="Times New Roman" w:hAnsi="Times New Roman"/>
          <w:sz w:val="24"/>
          <w:szCs w:val="24"/>
        </w:rPr>
        <w:t xml:space="preserve">Higher motivation levels were associated with improved examination results. Motivation appears to be an important behavioral factor affecting academic success.</w:t>
      </w:r>
    </w:p>
    <w:p>
      <w:pPr>
        <w:pStyle w:val="Heading2"/>
      </w:pPr>
      <w:r>
        <w:t xml:space="preserve">Finding 7: Academic Performance Depends on Multiple Factors</w:t>
      </w:r>
    </w:p>
    <w:p>
      <w:pPr>
        <w:spacing w:after="160"/>
      </w:pPr>
      <w:r>
        <w:rPr>
          <w:rFonts w:ascii="Times New Roman" w:cs="Times New Roman" w:eastAsia="Times New Roman" w:hAnsi="Times New Roman"/>
          <w:sz w:val="24"/>
          <w:szCs w:val="24"/>
        </w:rPr>
        <w:t xml:space="preserve">Correlation analysis showed that no single factor completely explains exam scores. Student performance appears to be influenced by a combination of attendance, study habits, resources, motivation, and prior achievement.</w:t>
      </w:r>
    </w:p>
    <w:p>
      <w:pPr>
        <w:pStyle w:val="Heading1"/>
      </w:pPr>
      <w:r>
        <w:t xml:space="preserve">5. Recommendations</w:t>
      </w:r>
    </w:p>
    <w:p>
      <w:pPr>
        <w:pStyle w:val="Heading2"/>
      </w:pPr>
      <w:r>
        <w:t xml:space="preserve">Recommendation 1</w:t>
      </w:r>
    </w:p>
    <w:p>
      <w:pPr>
        <w:spacing w:after="160"/>
      </w:pPr>
      <w:r>
        <w:rPr>
          <w:rFonts w:ascii="Times New Roman" w:cs="Times New Roman" w:eastAsia="Times New Roman" w:hAnsi="Times New Roman"/>
          <w:sz w:val="24"/>
          <w:szCs w:val="24"/>
        </w:rPr>
        <w:t xml:space="preserve">Implement attendance monitoring systems and provide early intervention for students showing declining attendance patterns.</w:t>
      </w:r>
    </w:p>
    <w:p>
      <w:pPr>
        <w:pStyle w:val="Heading2"/>
      </w:pPr>
      <w:r>
        <w:t xml:space="preserve">Recommendation 2</w:t>
      </w:r>
    </w:p>
    <w:p>
      <w:pPr>
        <w:spacing w:after="160"/>
      </w:pPr>
      <w:r>
        <w:rPr>
          <w:rFonts w:ascii="Times New Roman" w:cs="Times New Roman" w:eastAsia="Times New Roman" w:hAnsi="Times New Roman"/>
          <w:sz w:val="24"/>
          <w:szCs w:val="24"/>
        </w:rPr>
        <w:t xml:space="preserve">Encourage structured study schedules and study-planning workshops to improve student learning habits.</w:t>
      </w:r>
    </w:p>
    <w:p>
      <w:pPr>
        <w:pStyle w:val="Heading2"/>
      </w:pPr>
      <w:r>
        <w:t xml:space="preserve">Recommendation 3</w:t>
      </w:r>
    </w:p>
    <w:p>
      <w:pPr>
        <w:spacing w:after="160"/>
      </w:pPr>
      <w:r>
        <w:rPr>
          <w:rFonts w:ascii="Times New Roman" w:cs="Times New Roman" w:eastAsia="Times New Roman" w:hAnsi="Times New Roman"/>
          <w:sz w:val="24"/>
          <w:szCs w:val="24"/>
        </w:rPr>
        <w:t xml:space="preserve">Provide additional support programs for students with lower previous academic performance.</w:t>
      </w:r>
    </w:p>
    <w:p>
      <w:pPr>
        <w:pStyle w:val="Heading2"/>
      </w:pPr>
      <w:r>
        <w:t xml:space="preserve">Recommendation 4</w:t>
      </w:r>
    </w:p>
    <w:p>
      <w:pPr>
        <w:spacing w:after="160"/>
      </w:pPr>
      <w:r>
        <w:rPr>
          <w:rFonts w:ascii="Times New Roman" w:cs="Times New Roman" w:eastAsia="Times New Roman" w:hAnsi="Times New Roman"/>
          <w:sz w:val="24"/>
          <w:szCs w:val="24"/>
        </w:rPr>
        <w:t xml:space="preserve">Improve access to educational resources such as study materials, digital learning platforms, and academic support services.</w:t>
      </w:r>
    </w:p>
    <w:p>
      <w:pPr>
        <w:pStyle w:val="Heading2"/>
      </w:pPr>
      <w:r>
        <w:t xml:space="preserve">Recommendation 5</w:t>
      </w:r>
    </w:p>
    <w:p>
      <w:pPr>
        <w:spacing w:after="160"/>
      </w:pPr>
      <w:r>
        <w:rPr>
          <w:rFonts w:ascii="Times New Roman" w:cs="Times New Roman" w:eastAsia="Times New Roman" w:hAnsi="Times New Roman"/>
          <w:sz w:val="24"/>
          <w:szCs w:val="24"/>
        </w:rPr>
        <w:t xml:space="preserve">Promote participation in extracurricular activities to support holistic student development.</w:t>
      </w:r>
    </w:p>
    <w:p>
      <w:pPr>
        <w:pStyle w:val="Heading2"/>
      </w:pPr>
      <w:r>
        <w:t xml:space="preserve">Recommendation 6</w:t>
      </w:r>
    </w:p>
    <w:p>
      <w:pPr>
        <w:spacing w:after="160"/>
      </w:pPr>
      <w:r>
        <w:rPr>
          <w:rFonts w:ascii="Times New Roman" w:cs="Times New Roman" w:eastAsia="Times New Roman" w:hAnsi="Times New Roman"/>
          <w:sz w:val="24"/>
          <w:szCs w:val="24"/>
        </w:rPr>
        <w:t xml:space="preserve">Introduce mentorship and motivation-building programs to enhance student engagement.</w:t>
      </w:r>
    </w:p>
    <w:p>
      <w:pPr>
        <w:pStyle w:val="Heading1"/>
      </w:pPr>
      <w:r>
        <w:t xml:space="preserve">6. Limitations</w:t>
      </w:r>
    </w:p>
    <w:p>
      <w:pPr>
        <w:pStyle w:val="ListParagraph"/>
        <w:numPr>
          <w:ilvl w:val="0"/>
          <w:numId w:val="2"/>
        </w:numPr>
        <w:spacing w:after="80"/>
      </w:pPr>
      <w:r>
        <w:rPr>
          <w:rFonts w:ascii="Times New Roman" w:cs="Times New Roman" w:eastAsia="Times New Roman" w:hAnsi="Times New Roman"/>
          <w:sz w:val="24"/>
          <w:szCs w:val="24"/>
        </w:rPr>
        <w:t xml:space="preserve">Correlation does not imply causation.</w:t>
      </w:r>
    </w:p>
    <w:p>
      <w:pPr>
        <w:pStyle w:val="ListParagraph"/>
        <w:numPr>
          <w:ilvl w:val="0"/>
          <w:numId w:val="2"/>
        </w:numPr>
        <w:spacing w:after="80"/>
      </w:pPr>
      <w:r>
        <w:rPr>
          <w:rFonts w:ascii="Times New Roman" w:cs="Times New Roman" w:eastAsia="Times New Roman" w:hAnsi="Times New Roman"/>
          <w:sz w:val="24"/>
          <w:szCs w:val="24"/>
        </w:rPr>
        <w:t xml:space="preserve">Some factors affecting student performance may not be included in the dataset.</w:t>
      </w:r>
    </w:p>
    <w:p>
      <w:pPr>
        <w:pStyle w:val="ListParagraph"/>
        <w:numPr>
          <w:ilvl w:val="0"/>
          <w:numId w:val="2"/>
        </w:numPr>
        <w:spacing w:after="80"/>
      </w:pPr>
      <w:r>
        <w:rPr>
          <w:rFonts w:ascii="Times New Roman" w:cs="Times New Roman" w:eastAsia="Times New Roman" w:hAnsi="Times New Roman"/>
          <w:sz w:val="24"/>
          <w:szCs w:val="24"/>
        </w:rPr>
        <w:t xml:space="preserve">Missing values were handled using statistical techniques and may introduce minor bias.</w:t>
      </w:r>
    </w:p>
    <w:p>
      <w:pPr>
        <w:pStyle w:val="ListParagraph"/>
        <w:numPr>
          <w:ilvl w:val="0"/>
          <w:numId w:val="2"/>
        </w:numPr>
        <w:spacing w:after="80"/>
      </w:pPr>
      <w:r>
        <w:rPr>
          <w:rFonts w:ascii="Times New Roman" w:cs="Times New Roman" w:eastAsia="Times New Roman" w:hAnsi="Times New Roman"/>
          <w:sz w:val="24"/>
          <w:szCs w:val="24"/>
        </w:rPr>
        <w:t xml:space="preserve">The analysis is based on historical data and may not fully capture future trends.</w:t>
      </w:r>
    </w:p>
    <w:p>
      <w:pPr>
        <w:pStyle w:val="Heading1"/>
      </w:pPr>
      <w:r>
        <w:t xml:space="preserve">7. Conclusion</w:t>
      </w:r>
    </w:p>
    <w:p>
      <w:pPr>
        <w:spacing w:after="160"/>
      </w:pPr>
      <w:r>
        <w:rPr>
          <w:rFonts w:ascii="Times New Roman" w:cs="Times New Roman" w:eastAsia="Times New Roman" w:hAnsi="Times New Roman"/>
          <w:sz w:val="24"/>
          <w:szCs w:val="24"/>
        </w:rPr>
        <w:t xml:space="preserve">The analysis indicates that attendance, study habits, prior academic achievement, motivation, and educational resources are important contributors to student success. Educational institutions can use these insights to design targeted interventions, improve student engagement, and support better academic outcomes.</w:t>
      </w:r>
    </w:p>
    <w:p>
      <w:pPr>
        <w:spacing w:after="160"/>
      </w:pPr>
      <w:r>
        <w:rPr>
          <w:rFonts w:ascii="Times New Roman" w:cs="Times New Roman" w:eastAsia="Times New Roman" w:hAnsi="Times New Roman"/>
          <w:sz w:val="24"/>
          <w:szCs w:val="24"/>
        </w:rPr>
        <w:t xml:space="preserve">Overall, student performance is influenced by a combination of academic, behavioral, and environmental factors rather than a single variable.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2026-06-08T17:48:38.967Z</dcterms:created>
  <dcterms:modified xsi:type="dcterms:W3CDTF">2026-06-08T17:48:38.984Z</dcterms:modified>
</cp:coreProperties>
</file>

<file path=docProps/custom.xml><?xml version="1.0" encoding="utf-8"?>
<Properties xmlns="http://schemas.openxmlformats.org/officeDocument/2006/custom-properties" xmlns:vt="http://schemas.openxmlformats.org/officeDocument/2006/docPropsVTypes"/>
</file>