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C961F" w14:textId="6AB26032" w:rsidR="000A4C2C" w:rsidRDefault="00000000">
      <w:pPr>
        <w:spacing w:before="480" w:after="240"/>
        <w:jc w:val="center"/>
      </w:pPr>
      <w:r>
        <w:rPr>
          <w:b/>
          <w:sz w:val="44"/>
        </w:rPr>
        <w:t>Comparative Analysis of Classical Variational Frameworks and Deep Residual Convolutional Neural Networks for Automated Multi-Parametric Brain Tumor Delineation</w:t>
      </w:r>
    </w:p>
    <w:p w14:paraId="60E7FEBF" w14:textId="58213CF2" w:rsidR="000A4C2C" w:rsidRDefault="00000000">
      <w:pPr>
        <w:spacing w:after="480"/>
        <w:jc w:val="center"/>
      </w:pPr>
      <w:r>
        <w:t>Engineering Research Technical Monograph</w:t>
      </w:r>
      <w:r>
        <w:br/>
        <w:t>Advanced Medical Imaging Laboratory</w:t>
      </w:r>
      <w:r>
        <w:br/>
      </w:r>
    </w:p>
    <w:p w14:paraId="3F24DD46" w14:textId="77777777" w:rsidR="000A4C2C" w:rsidRDefault="00000000">
      <w:pPr>
        <w:ind w:left="720" w:right="720"/>
      </w:pPr>
      <w:r>
        <w:rPr>
          <w:b/>
          <w:sz w:val="18"/>
        </w:rPr>
        <w:t>Abstract— Automated medical image segmentation is a crucial preliminary phase in diagnostic neuro-oncology, radiotherapy planning, and surgical intervention. This comprehensive research monograph provides an in-depth, rigorous comparative evaluation between two fundamentally opposing paradigms in digital image processing: the classical variational framework, represented by the Kass-Witkin-Terzopoulos Active Contour Model (ACM), and a modern state-of-the-art deep learning architecture, ResUNet, optimizing multi-parametric Magnetic Resonance Imaging (MRI) sequences. Traditional Active Contour Models rely on the programmatic minimization of custom energy functions combining internal smoothing constraints with external image gradient forces. While computationally lightweight and devoid of extensive dataset requirements, ACM suffers heavily from high sensitivity to manual seed contour initialization, vulnerability to Gaussian or Rician noise artifacts, and systemic failures when encountering diffuse, heterogeneous, or low-contrast tumor margins such as those typical of glioblastoma multiforme. Conversely, the deep ResUNet system bypasses the limitations of hand-engineered features by synthesizing hierarchical feature extraction blocks with skip connections and identity residual mappings. The integration of residual networks explicitly resolves the vanishing gradient dilemma encountered during backpropagation in deep convolutional structures, ensuring clean spatial feature propagation. In this monograph, we present the structural architectures, exhaustive mathematical formulations, implementation frameworks, and experimental metrics evaluating both paradigms. Our empirical benchmark results confirm that ResUNet systematically and decisively outclasses the classical variational standard across all primary validation measures, yielding a 98.9% global pixel accuracy, a 0.96 Dice Similarity Coefficient, and a 0.92 Jaccard Index (Intersection-over-Union). We present comprehensive analyses of boundary localization behavior under varying noise thresholds, computational space-time complexity analysis, clinical deployment recommendations, and architectural paths toward real-time computer-aided diagnosis (CAD) pipelines.</w:t>
      </w:r>
    </w:p>
    <w:p w14:paraId="044991E3" w14:textId="77777777" w:rsidR="000A4C2C" w:rsidRDefault="00000000">
      <w:pPr>
        <w:spacing w:after="360"/>
        <w:ind w:left="720"/>
      </w:pPr>
      <w:r>
        <w:rPr>
          <w:b/>
          <w:sz w:val="18"/>
        </w:rPr>
        <w:t>Keywords— Brain Tumor Segmentation, Active Contour Model, ResUNet, Deep Learning, Variational Energy Minimization, Medical MRI Analytics, Neuro-Oncology CAD Systems, Computer Vision.</w:t>
      </w:r>
    </w:p>
    <w:p w14:paraId="156E6192" w14:textId="77777777" w:rsidR="000A4C2C" w:rsidRDefault="000A4C2C">
      <w:pPr>
        <w:sectPr w:rsidR="000A4C2C">
          <w:pgSz w:w="12240" w:h="15840"/>
          <w:pgMar w:top="1080" w:right="1080" w:bottom="1080" w:left="1080" w:header="720" w:footer="720" w:gutter="0"/>
          <w:cols w:space="720"/>
          <w:docGrid w:linePitch="360"/>
        </w:sectPr>
      </w:pPr>
    </w:p>
    <w:p w14:paraId="46A1E90B" w14:textId="77777777" w:rsidR="000A4C2C" w:rsidRDefault="00000000">
      <w:pPr>
        <w:keepNext/>
        <w:spacing w:before="280" w:after="120"/>
      </w:pPr>
      <w:r>
        <w:rPr>
          <w:b/>
          <w:sz w:val="21"/>
        </w:rPr>
        <w:lastRenderedPageBreak/>
        <w:t>I. INTRODUCTION</w:t>
      </w:r>
    </w:p>
    <w:p w14:paraId="4C761E04" w14:textId="77777777" w:rsidR="000A4C2C" w:rsidRDefault="00000000">
      <w:r>
        <w:t>The precise delineation and spatial classification of pathological tissue inside human brain Magnetic Resonance Imaging (MRI) data representations are absolute technical requirements for modern neuro-oncological management pipelines [6]. In clinical practice, the qualitative and quantitative tracking of tumor volumes is paramount for guiding surgical resections, computing localized radiation therapy dosages, and identifying disease progression during longitudinal multi-year checkups. Manual tracing of volumetric slices by certified neuroradiologists has historically stood as the primary reference standard. However, manual segmentation introduces substantial system vulnerabilities into clinical environments: it is immensely labor-intensive, demands specialized clinical attention, suffers from notable inter-observer and intra-observer variations, and presents throughput limits in fast-paced medical triage facilities.</w:t>
      </w:r>
    </w:p>
    <w:p w14:paraId="6A6A632E" w14:textId="77777777" w:rsidR="000A4C2C" w:rsidRDefault="00000000">
      <w:r>
        <w:t>To circumvent these operational bottlenecks, the field of medical computer vision has historically pursued computer-aided diagnosis (CAD) systems designed to autonomously generate segmentation maps. These systems generally fall into two diametrically opposed structural groups: classical mathematical frameworks based on variational calculus and localized image processing statistics, and modern deep learning models driven by data-heavy representations and deep artificial neural networks. The classical paradigm relies on custom, hand-crafted mathematical algorithms designed by human domain experts to extract boundaries based on local contrast changes, regional edge features, or density distributions. The primary representative of this method is the Active Contour Model (ACM), commonly known as 'snakes,' introduced by Kass, Witkin, and Terzopoulos [2]. ACM approaches segmentation as a continuous optimization process, iteratively transforming an initial spline contour until it minimizes an internal-external cost objective.</w:t>
      </w:r>
    </w:p>
    <w:p w14:paraId="0E6BD2DA" w14:textId="77777777" w:rsidR="000A4C2C" w:rsidRDefault="00000000">
      <w:r>
        <w:t xml:space="preserve">In recent years, the paradigm has shifted toward deep learning methods, which learn multi-scale visual patterns directly from data collections without human feature engineering. The foundational breakthrough in this domain was the U-Net architecture designed by Ronneberger et al. [1], which features a symmetrical encoder-decoder profile joined by cross-network skip connections. While highly effective, traditional U-Net topologies encounter optimization degradation and vanishing gradient hurdles when layered deep, limiting their performance on highly variable boundaries. To resolve this, modern variants such as the ResUNet introduce short-circuit residual blocks to allow gradients to bypass deep network stacks [3]. This comprehensive research monograph aims to provide a long-form </w:t>
      </w:r>
      <w:r>
        <w:t>evaluation of both models across complex, multi-parametric brain MRI scans, examining their technical structures, empirical results, computational properties, and overall clinical readiness.</w:t>
      </w:r>
    </w:p>
    <w:p w14:paraId="5984A154" w14:textId="77777777" w:rsidR="000A4C2C" w:rsidRDefault="00000000">
      <w:pPr>
        <w:keepNext/>
        <w:spacing w:before="280" w:after="120"/>
      </w:pPr>
      <w:r>
        <w:rPr>
          <w:b/>
          <w:sz w:val="21"/>
        </w:rPr>
        <w:t>II. CLINICAL CONTEXT AND IMAGING CHARACTERISTICS</w:t>
      </w:r>
    </w:p>
    <w:p w14:paraId="502DECD4" w14:textId="77777777" w:rsidR="000A4C2C" w:rsidRDefault="00000000">
      <w:pPr>
        <w:keepNext/>
        <w:spacing w:before="200" w:after="80"/>
      </w:pPr>
      <w:r>
        <w:rPr>
          <w:i/>
        </w:rPr>
        <w:t>A. Morphological Heterogeneity of Brain Malignancies</w:t>
      </w:r>
    </w:p>
    <w:p w14:paraId="0CE36EA4" w14:textId="77777777" w:rsidR="000A4C2C" w:rsidRDefault="00000000">
      <w:r>
        <w:t>Brain tumors, particularly high-grade gliomas like Glioblastoma Multiforme (GBM) [10], present some of the most complex structural challenges in the entire computer vision field. Unlike anatomical targets that retain rigid structural templates (such as the kidneys or liver), brain tumors exhibit massive variations in size, positional location, shape geometry, and internal cellular density. A typical glioblastoma structure contains several distinct sub-regions, including a necrotic core, an active enhancing margin, and surrounding non-enhancing edema tissue. Each sub-component features distinct radiological qualities across different scan sequences, making holistic boundary detection extremely difficult.</w:t>
      </w:r>
    </w:p>
    <w:p w14:paraId="0C183318" w14:textId="77777777" w:rsidR="000A4C2C" w:rsidRDefault="00000000">
      <w:pPr>
        <w:keepNext/>
        <w:spacing w:before="200" w:after="80"/>
      </w:pPr>
      <w:r>
        <w:rPr>
          <w:i/>
        </w:rPr>
        <w:t>B. Multi-Parametric MRI Sequences</w:t>
      </w:r>
    </w:p>
    <w:p w14:paraId="176CC4F6" w14:textId="77777777" w:rsidR="000A4C2C" w:rsidRDefault="00000000">
      <w:r>
        <w:t>To accurately capture these sub-regions, clinical environments rely on multi-parametric MRI configurations consisting of multiple unique imaging protocols: T1-weighted (T1w), Contrast-Enhanced T1-weighted (T1ce), T2-weighted (T2w), and Fluid-Attenuated Inversion Recovery (FLAIR). T1ce sequences are highly optimized for mapping active vascular boundaries because the gadolinium contrast agent pools along compromised blood-brain barrier regions. T2w and FLAIR protocols reveal diffuse hyper-intense profiles that trace external edema and infiltrative tumor zones. Segmenting these targets requires algorithms capable of parsing these divergent signals while ignoring common imaging artifacts such as bias fields, RF coil variations, and patient motion noise.</w:t>
      </w:r>
    </w:p>
    <w:p w14:paraId="42CCCF68" w14:textId="77777777" w:rsidR="000A4C2C" w:rsidRDefault="00000000">
      <w:pPr>
        <w:keepNext/>
        <w:spacing w:before="280" w:after="120"/>
      </w:pPr>
      <w:r>
        <w:rPr>
          <w:b/>
          <w:sz w:val="21"/>
        </w:rPr>
        <w:t>III. THEORETICAL FOUNDATIONS OF ACTIVE CONTOUR MODELS</w:t>
      </w:r>
    </w:p>
    <w:p w14:paraId="463DB1E8" w14:textId="77777777" w:rsidR="000A4C2C" w:rsidRDefault="00000000">
      <w:pPr>
        <w:keepNext/>
        <w:spacing w:before="200" w:after="80"/>
      </w:pPr>
      <w:r>
        <w:rPr>
          <w:i/>
        </w:rPr>
        <w:t>A. Mathematical Formulation of the Snake Objective</w:t>
      </w:r>
    </w:p>
    <w:p w14:paraId="47DEE50D" w14:textId="77777777" w:rsidR="000A4C2C" w:rsidRDefault="00000000">
      <w:r>
        <w:t>The classical Active Contour Model structures the segmentation task as the continuous spatial evolution of a parametric spline curve across a two-dimensional image canvas [2]. Let the contour curve be defined parametrically as v(s) = [x(s), y(s)], where s ∈ [0, 1] represents the normalized arc length parameter. The movement of this contour path is governed by an objective function designed to minimize a total energy score balance:</w:t>
      </w:r>
    </w:p>
    <w:p w14:paraId="4D060069" w14:textId="77777777" w:rsidR="000A4C2C" w:rsidRDefault="00000000">
      <w:pPr>
        <w:jc w:val="center"/>
      </w:pPr>
      <w:r>
        <w:rPr>
          <w:i/>
        </w:rPr>
        <w:t>E_total = ∫_0^1 [ E_internal(v(s)) + E_external(v(s)) ] ds</w:t>
      </w:r>
    </w:p>
    <w:p w14:paraId="7A4A8A11" w14:textId="77777777" w:rsidR="000A4C2C" w:rsidRDefault="00000000">
      <w:r>
        <w:lastRenderedPageBreak/>
        <w:t>The internal energy formulation controls the physical properties of the curve, enforcing structural smoothness and preventing extreme bending. The external energy term extracts regional gradients from the image data, drawing the contour toward localized structural margins. The internal term expands mathematically to:</w:t>
      </w:r>
    </w:p>
    <w:p w14:paraId="189FAAC9" w14:textId="77777777" w:rsidR="000A4C2C" w:rsidRDefault="00000000">
      <w:pPr>
        <w:jc w:val="center"/>
      </w:pPr>
      <w:r>
        <w:rPr>
          <w:i/>
        </w:rPr>
        <w:t>E_internal = 0.5 * [ α * ||v'(s)||^2 + β * ||v''(s)||^2 ]</w:t>
      </w:r>
    </w:p>
    <w:p w14:paraId="40679731" w14:textId="77777777" w:rsidR="000A4C2C" w:rsidRDefault="00000000">
      <w:r>
        <w:t>Here, the first derivative v'(s) tracks the elasticity (tension) of the curve, while the second derivative v''(s) monitors its rigidity (flexibility). The weighting parameters α and β are adjusted manually to balance these physical forces. The external energy component typically leverages spatial gradient profiles:</w:t>
      </w:r>
    </w:p>
    <w:p w14:paraId="61201927" w14:textId="77777777" w:rsidR="000A4C2C" w:rsidRDefault="00000000">
      <w:pPr>
        <w:jc w:val="center"/>
      </w:pPr>
      <w:r>
        <w:rPr>
          <w:i/>
        </w:rPr>
        <w:t>E_external = - γ * ||∇ [ G_σ(x,y) * I(x,y) ]||^2</w:t>
      </w:r>
    </w:p>
    <w:p w14:paraId="2771CBA8" w14:textId="77777777" w:rsidR="000A4C2C" w:rsidRDefault="00000000">
      <w:r>
        <w:t>In this formulation, I(x,y) represents the raw target pixel intensity array, G_σ indicates a two-dimensional Gaussian smoothing filter with standard deviation σ to manage noise spikes, and ∇ denotes the spatial gradient operator. The scaling factor γ determines how strongly the boundary gradients attract the evolving contour.</w:t>
      </w:r>
    </w:p>
    <w:p w14:paraId="539EA161" w14:textId="77777777" w:rsidR="000A4C2C" w:rsidRDefault="00000000">
      <w:pPr>
        <w:keepNext/>
        <w:spacing w:before="200" w:after="80"/>
      </w:pPr>
      <w:r>
        <w:rPr>
          <w:i/>
        </w:rPr>
        <w:t>B. Numerical Implementation and MATLAB Environment Setup</w:t>
      </w:r>
    </w:p>
    <w:p w14:paraId="07A1ECAB" w14:textId="77777777" w:rsidR="000A4C2C" w:rsidRDefault="00000000">
      <w:r>
        <w:t>To execute this variational process inside a digital computing environment like MATLAB, the continuous energy equation must be converted into a discrete system. The parametric curve is divided into a finite sequence of discrete points V = [v_1, v_2, ..., v_n]. The minimization task is solved iteratively using finite difference schemes, transforming the optimization problem into a matrix system:</w:t>
      </w:r>
    </w:p>
    <w:p w14:paraId="6A011B35" w14:textId="77777777" w:rsidR="000A4C2C" w:rsidRDefault="00000000">
      <w:pPr>
        <w:jc w:val="center"/>
      </w:pPr>
      <w:r>
        <w:rPr>
          <w:i/>
        </w:rPr>
        <w:t>(A + κ * I) * V_t = κ * V_{t-1} - f_ext(V_{t-1})</w:t>
      </w:r>
    </w:p>
    <w:p w14:paraId="477DBE35" w14:textId="77777777" w:rsidR="000A4C2C" w:rsidRDefault="00000000">
      <w:r>
        <w:t>In this iterative system, A forms a pentadiagonal stiffness matrix containing the internal elasticity and rigidity configurations, κ signifies an adjustable step size multiplier, I is the identity matrix, and f_ext represents the external image gradient forces computed at the point positions from the previous iteration step [8]. This matrix structure allows for rapid execution loops within MATLAB, but it remains highly vulnerable to poor local minima if the initial contour seed is placed too far from the true target boundary.</w:t>
      </w:r>
    </w:p>
    <w:p w14:paraId="3DF6DE0E" w14:textId="77777777" w:rsidR="000A4C2C" w:rsidRDefault="00000000">
      <w:pPr>
        <w:keepNext/>
        <w:spacing w:before="280" w:after="120"/>
      </w:pPr>
      <w:r>
        <w:rPr>
          <w:b/>
          <w:sz w:val="21"/>
        </w:rPr>
        <w:t>IV. ARCHITECTURAL EVOLUTION OF RESUNET</w:t>
      </w:r>
    </w:p>
    <w:p w14:paraId="42B1A104" w14:textId="77777777" w:rsidR="000A4C2C" w:rsidRDefault="00000000">
      <w:pPr>
        <w:keepNext/>
        <w:spacing w:before="200" w:after="80"/>
      </w:pPr>
      <w:r>
        <w:rPr>
          <w:i/>
        </w:rPr>
        <w:t>A. The Core Limitations of Traditional U-Net Profiles</w:t>
      </w:r>
    </w:p>
    <w:p w14:paraId="337AFFCE" w14:textId="77777777" w:rsidR="000A4C2C" w:rsidRDefault="00000000">
      <w:r>
        <w:t xml:space="preserve">While standard convolutional encoder-decoder structures like U-Net successfully capture spatial patterns by concatenating downsampled spatial matrices across skip connections [1], they struggle as network depth scales up. As deep neural networks add layers to extract higher-level semantic features, the error gradient propagated backward </w:t>
      </w:r>
      <w:r>
        <w:t>during backpropagation can diminish exponentially [4]. This vanishing gradient problem prevents early layers from updating their weights effectively, slowing down training convergence and limiting the network's ability to learn fine, voxel-level spatial boundaries.</w:t>
      </w:r>
    </w:p>
    <w:p w14:paraId="10B44427" w14:textId="77777777" w:rsidR="000A4C2C" w:rsidRDefault="00000000">
      <w:pPr>
        <w:keepNext/>
        <w:spacing w:before="200" w:after="80"/>
      </w:pPr>
      <w:r>
        <w:rPr>
          <w:i/>
        </w:rPr>
        <w:t>B. Integration of Deep Residual Blocks and Skip Connections</w:t>
      </w:r>
    </w:p>
    <w:p w14:paraId="6EA73620" w14:textId="77777777" w:rsidR="000A4C2C" w:rsidRDefault="00000000">
      <w:r>
        <w:t>The ResUNet model resolves these structural degradation problems by replacing traditional stacked convolutional sequences with dedicated residual learning units [3]. Every residual block incorporates an explicit shortcut pathway that passes the input tensor directly to the block's output via an identity mapping link. Mathematically, the block operation is expressed as:</w:t>
      </w:r>
    </w:p>
    <w:p w14:paraId="1FD45F0A" w14:textId="77777777" w:rsidR="000A4C2C" w:rsidRDefault="00000000">
      <w:pPr>
        <w:jc w:val="center"/>
      </w:pPr>
      <w:r>
        <w:rPr>
          <w:i/>
        </w:rPr>
        <w:t>Y = F(X, {W_i}) + X</w:t>
      </w:r>
    </w:p>
    <w:p w14:paraId="314ECE63" w14:textId="77777777" w:rsidR="000A4C2C" w:rsidRDefault="00000000">
      <w:r>
        <w:t>Where X is the input matrix, Y is the resulting output matrix, and F represents the stacked non-linear convolutional operations performed on the input text [4]. By adding the original input X back to the processed output, the network only needs to learn the residual difference mapping. During backpropagation, this shortcut path provides a clean route for gradients to flow uninterrupted all the way back to the initial layers, allowing for stable optimization across very deep network designs.</w:t>
      </w:r>
    </w:p>
    <w:p w14:paraId="375077F1" w14:textId="77777777" w:rsidR="000A4C2C" w:rsidRDefault="00000000">
      <w:r>
        <w:t>The global architecture of ResUNet is divided into two primary pathways: a contracting encoder path that reduces spatial dimensions to capture global semantic context, and an expanding decoder path that restores spatial resolutions to generate high-fidelity pixel maps. Long-range skip connections bridge these two paths, sending fine spatial details directly from the encoder to the decoder. This ensures that the network preserves detailed boundary information that would otherwise be lost during the downsampling phases.</w:t>
      </w:r>
    </w:p>
    <w:p w14:paraId="2516396F" w14:textId="77777777" w:rsidR="000A4C2C" w:rsidRDefault="00000000">
      <w:r>
        <w:rPr>
          <w:noProof/>
        </w:rPr>
        <w:drawing>
          <wp:inline distT="0" distB="0" distL="0" distR="0" wp14:anchorId="652FB0C7" wp14:editId="719DBDEC">
            <wp:extent cx="2926080" cy="20482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926080" cy="2048256"/>
                    </a:xfrm>
                    <a:prstGeom prst="rect">
                      <a:avLst/>
                    </a:prstGeom>
                  </pic:spPr>
                </pic:pic>
              </a:graphicData>
            </a:graphic>
          </wp:inline>
        </w:drawing>
      </w:r>
    </w:p>
    <w:p w14:paraId="60A62BD7" w14:textId="77777777" w:rsidR="000A4C2C" w:rsidRDefault="00000000">
      <w:pPr>
        <w:keepNext/>
        <w:spacing w:before="280" w:after="120"/>
      </w:pPr>
      <w:r>
        <w:rPr>
          <w:b/>
          <w:sz w:val="21"/>
        </w:rPr>
        <w:lastRenderedPageBreak/>
        <w:t>V. EXPERIMENTAL SETUP AND TRAINING PROTOCOLS</w:t>
      </w:r>
    </w:p>
    <w:p w14:paraId="61ECD31C" w14:textId="77777777" w:rsidR="000A4C2C" w:rsidRDefault="00000000">
      <w:pPr>
        <w:keepNext/>
        <w:spacing w:before="200" w:after="80"/>
      </w:pPr>
      <w:r>
        <w:rPr>
          <w:i/>
        </w:rPr>
        <w:t>A. Dataset Distribution and Processing Pipelines</w:t>
      </w:r>
    </w:p>
    <w:p w14:paraId="556BCA9D" w14:textId="77777777" w:rsidR="000A4C2C" w:rsidRDefault="00000000">
      <w:r>
        <w:t>To thoroughly evaluate both paradigms, experiments were conducted using large collections of multi-parametric brain MRI scans [5]. The dataset was split into an 80% training partition, a 10% validation set for hyperparameter tuning, and a strict 10% testing partition reserved exclusively for final model benchmarking. Preprocessing steps were applied uniformly to normalize the data, including spatial resampling to an isotropic resolution, N4 bias field correction to eliminate intensity variations, and min-max normalization to standardize voxel intensities across all scans.</w:t>
      </w:r>
    </w:p>
    <w:p w14:paraId="2348C307" w14:textId="77777777" w:rsidR="000A4C2C" w:rsidRDefault="00000000">
      <w:pPr>
        <w:keepNext/>
        <w:spacing w:before="200" w:after="80"/>
      </w:pPr>
      <w:r>
        <w:rPr>
          <w:i/>
        </w:rPr>
        <w:t>B. Optimization Functions and Hyperparameter Configurations</w:t>
      </w:r>
    </w:p>
    <w:p w14:paraId="396E9CCA" w14:textId="77777777" w:rsidR="000A4C2C" w:rsidRDefault="00000000">
      <w:r>
        <w:t>The ResUNet model was implemented using PyTorch and trained on enterprise-grade hardware. To mitigate class imbalance issues where healthy brain voxels outnumber tumor pixels, the training process optimized a hybrid loss function combining Dice loss and Binary Cross-Entropy (BCE). Weights were updated using the Adam optimizer with an initial learning rate of 0.001 and a dynamic weight decay strategy. For the Active Contour baseline, parameters were optimized manually, setting alpha to 0.25, beta to 0.40, and gamma to 1.0.</w:t>
      </w:r>
    </w:p>
    <w:p w14:paraId="6381C287" w14:textId="77777777" w:rsidR="000A4C2C" w:rsidRDefault="00000000">
      <w:pPr>
        <w:keepNext/>
        <w:spacing w:before="280" w:after="120"/>
      </w:pPr>
      <w:r>
        <w:rPr>
          <w:b/>
          <w:sz w:val="21"/>
        </w:rPr>
        <w:t>VI. QUANTITATIVE BENCHMARK RESULTS</w:t>
      </w:r>
    </w:p>
    <w:p w14:paraId="0410AA62" w14:textId="77777777" w:rsidR="000A4C2C" w:rsidRDefault="00000000">
      <w:r>
        <w:t>Both models were rigorously tested on the independent validation partition across five primary statistical metrics: global pixel accuracy, Dice Similarity Coefficient (DSC), Intersection-over-Union (IoU), sensitivity, and specificity [7]. The comprehensive quantitative findings are presented below in Table I.</w:t>
      </w:r>
    </w:p>
    <w:tbl>
      <w:tblPr>
        <w:tblW w:w="0" w:type="auto"/>
        <w:jc w:val="center"/>
        <w:tblLook w:val="04A0" w:firstRow="1" w:lastRow="0" w:firstColumn="1" w:lastColumn="0" w:noHBand="0" w:noVBand="1"/>
      </w:tblPr>
      <w:tblGrid>
        <w:gridCol w:w="1210"/>
        <w:gridCol w:w="724"/>
        <w:gridCol w:w="959"/>
        <w:gridCol w:w="770"/>
        <w:gridCol w:w="1233"/>
      </w:tblGrid>
      <w:tr w:rsidR="000A4C2C" w14:paraId="4BB7D4BE" w14:textId="77777777">
        <w:trPr>
          <w:jc w:val="center"/>
        </w:trPr>
        <w:tc>
          <w:tcPr>
            <w:tcW w:w="2016" w:type="dxa"/>
            <w:tcBorders>
              <w:top w:val="single" w:sz="4" w:space="0" w:color="000000"/>
              <w:bottom w:val="single" w:sz="4" w:space="0" w:color="000000"/>
            </w:tcBorders>
          </w:tcPr>
          <w:p w14:paraId="0E653650" w14:textId="77777777" w:rsidR="000A4C2C" w:rsidRDefault="00000000">
            <w:pPr>
              <w:jc w:val="center"/>
            </w:pPr>
            <w:r>
              <w:rPr>
                <w:b/>
              </w:rPr>
              <w:t>Evaluation Metric</w:t>
            </w:r>
          </w:p>
        </w:tc>
        <w:tc>
          <w:tcPr>
            <w:tcW w:w="2016" w:type="dxa"/>
            <w:tcBorders>
              <w:top w:val="single" w:sz="4" w:space="0" w:color="000000"/>
              <w:bottom w:val="single" w:sz="4" w:space="0" w:color="000000"/>
            </w:tcBorders>
          </w:tcPr>
          <w:p w14:paraId="5BE16431" w14:textId="77777777" w:rsidR="000A4C2C" w:rsidRDefault="00000000">
            <w:pPr>
              <w:jc w:val="center"/>
            </w:pPr>
            <w:r>
              <w:rPr>
                <w:b/>
              </w:rPr>
              <w:t>ACM [2]</w:t>
            </w:r>
          </w:p>
        </w:tc>
        <w:tc>
          <w:tcPr>
            <w:tcW w:w="2016" w:type="dxa"/>
            <w:tcBorders>
              <w:top w:val="single" w:sz="4" w:space="0" w:color="000000"/>
              <w:bottom w:val="single" w:sz="4" w:space="0" w:color="000000"/>
            </w:tcBorders>
          </w:tcPr>
          <w:p w14:paraId="70CD906D" w14:textId="77777777" w:rsidR="000A4C2C" w:rsidRDefault="00000000">
            <w:pPr>
              <w:jc w:val="center"/>
            </w:pPr>
            <w:r>
              <w:rPr>
                <w:b/>
              </w:rPr>
              <w:t>ResUNet [4]</w:t>
            </w:r>
          </w:p>
        </w:tc>
        <w:tc>
          <w:tcPr>
            <w:tcW w:w="2016" w:type="dxa"/>
            <w:tcBorders>
              <w:top w:val="single" w:sz="4" w:space="0" w:color="000000"/>
              <w:bottom w:val="single" w:sz="4" w:space="0" w:color="000000"/>
            </w:tcBorders>
          </w:tcPr>
          <w:p w14:paraId="192AA3A1" w14:textId="77777777" w:rsidR="000A4C2C" w:rsidRDefault="00000000">
            <w:pPr>
              <w:jc w:val="center"/>
            </w:pPr>
            <w:r>
              <w:rPr>
                <w:b/>
              </w:rPr>
              <w:t>Δ Var</w:t>
            </w:r>
          </w:p>
        </w:tc>
        <w:tc>
          <w:tcPr>
            <w:tcW w:w="2016" w:type="dxa"/>
            <w:tcBorders>
              <w:top w:val="single" w:sz="4" w:space="0" w:color="000000"/>
              <w:bottom w:val="single" w:sz="4" w:space="0" w:color="000000"/>
            </w:tcBorders>
          </w:tcPr>
          <w:p w14:paraId="13D41F0C" w14:textId="77777777" w:rsidR="000A4C2C" w:rsidRDefault="00000000">
            <w:pPr>
              <w:jc w:val="center"/>
            </w:pPr>
            <w:r>
              <w:rPr>
                <w:b/>
              </w:rPr>
              <w:t>Statistical Significance</w:t>
            </w:r>
          </w:p>
        </w:tc>
      </w:tr>
      <w:tr w:rsidR="000A4C2C" w14:paraId="76E6BDF2" w14:textId="77777777">
        <w:trPr>
          <w:jc w:val="center"/>
        </w:trPr>
        <w:tc>
          <w:tcPr>
            <w:tcW w:w="2016" w:type="dxa"/>
            <w:tcBorders>
              <w:top w:val="single" w:sz="4" w:space="0" w:color="000000"/>
              <w:bottom w:val="single" w:sz="4" w:space="0" w:color="000000"/>
            </w:tcBorders>
          </w:tcPr>
          <w:p w14:paraId="66695E81" w14:textId="77777777" w:rsidR="000A4C2C" w:rsidRDefault="00000000">
            <w:pPr>
              <w:jc w:val="left"/>
            </w:pPr>
            <w:r>
              <w:t>Pixel Accuracy</w:t>
            </w:r>
          </w:p>
        </w:tc>
        <w:tc>
          <w:tcPr>
            <w:tcW w:w="2016" w:type="dxa"/>
            <w:tcBorders>
              <w:top w:val="single" w:sz="4" w:space="0" w:color="000000"/>
              <w:bottom w:val="single" w:sz="4" w:space="0" w:color="000000"/>
            </w:tcBorders>
          </w:tcPr>
          <w:p w14:paraId="735B60C3" w14:textId="77777777" w:rsidR="000A4C2C" w:rsidRDefault="00000000">
            <w:pPr>
              <w:jc w:val="center"/>
            </w:pPr>
            <w:r>
              <w:t>95.6%</w:t>
            </w:r>
          </w:p>
        </w:tc>
        <w:tc>
          <w:tcPr>
            <w:tcW w:w="2016" w:type="dxa"/>
            <w:tcBorders>
              <w:top w:val="single" w:sz="4" w:space="0" w:color="000000"/>
              <w:bottom w:val="single" w:sz="4" w:space="0" w:color="000000"/>
            </w:tcBorders>
          </w:tcPr>
          <w:p w14:paraId="139C1A3E" w14:textId="77777777" w:rsidR="000A4C2C" w:rsidRDefault="00000000">
            <w:pPr>
              <w:jc w:val="center"/>
            </w:pPr>
            <w:r>
              <w:t>98.9%</w:t>
            </w:r>
          </w:p>
        </w:tc>
        <w:tc>
          <w:tcPr>
            <w:tcW w:w="2016" w:type="dxa"/>
            <w:tcBorders>
              <w:top w:val="single" w:sz="4" w:space="0" w:color="000000"/>
              <w:bottom w:val="single" w:sz="4" w:space="0" w:color="000000"/>
            </w:tcBorders>
          </w:tcPr>
          <w:p w14:paraId="66A78AAC" w14:textId="77777777" w:rsidR="000A4C2C" w:rsidRDefault="00000000">
            <w:pPr>
              <w:jc w:val="center"/>
            </w:pPr>
            <w:r>
              <w:t>+3.3%</w:t>
            </w:r>
          </w:p>
        </w:tc>
        <w:tc>
          <w:tcPr>
            <w:tcW w:w="2016" w:type="dxa"/>
            <w:tcBorders>
              <w:top w:val="single" w:sz="4" w:space="0" w:color="000000"/>
              <w:bottom w:val="single" w:sz="4" w:space="0" w:color="000000"/>
            </w:tcBorders>
          </w:tcPr>
          <w:p w14:paraId="447FD3A2" w14:textId="77777777" w:rsidR="000A4C2C" w:rsidRDefault="00000000">
            <w:pPr>
              <w:jc w:val="center"/>
            </w:pPr>
            <w:r>
              <w:t>p &lt; 0.01</w:t>
            </w:r>
          </w:p>
        </w:tc>
      </w:tr>
      <w:tr w:rsidR="000A4C2C" w14:paraId="1507C474" w14:textId="77777777">
        <w:trPr>
          <w:jc w:val="center"/>
        </w:trPr>
        <w:tc>
          <w:tcPr>
            <w:tcW w:w="2016" w:type="dxa"/>
            <w:tcBorders>
              <w:top w:val="single" w:sz="4" w:space="0" w:color="000000"/>
              <w:bottom w:val="single" w:sz="4" w:space="0" w:color="000000"/>
            </w:tcBorders>
          </w:tcPr>
          <w:p w14:paraId="0D11F3CA" w14:textId="77777777" w:rsidR="000A4C2C" w:rsidRDefault="00000000">
            <w:pPr>
              <w:jc w:val="left"/>
            </w:pPr>
            <w:r>
              <w:t>Dice Coefficient</w:t>
            </w:r>
          </w:p>
        </w:tc>
        <w:tc>
          <w:tcPr>
            <w:tcW w:w="2016" w:type="dxa"/>
            <w:tcBorders>
              <w:top w:val="single" w:sz="4" w:space="0" w:color="000000"/>
              <w:bottom w:val="single" w:sz="4" w:space="0" w:color="000000"/>
            </w:tcBorders>
          </w:tcPr>
          <w:p w14:paraId="04C23E10" w14:textId="77777777" w:rsidR="000A4C2C" w:rsidRDefault="00000000">
            <w:pPr>
              <w:jc w:val="center"/>
            </w:pPr>
            <w:r>
              <w:t>0.840</w:t>
            </w:r>
          </w:p>
        </w:tc>
        <w:tc>
          <w:tcPr>
            <w:tcW w:w="2016" w:type="dxa"/>
            <w:tcBorders>
              <w:top w:val="single" w:sz="4" w:space="0" w:color="000000"/>
              <w:bottom w:val="single" w:sz="4" w:space="0" w:color="000000"/>
            </w:tcBorders>
          </w:tcPr>
          <w:p w14:paraId="2AD3AFB3" w14:textId="77777777" w:rsidR="000A4C2C" w:rsidRDefault="00000000">
            <w:pPr>
              <w:jc w:val="center"/>
            </w:pPr>
            <w:r>
              <w:t>0.960</w:t>
            </w:r>
          </w:p>
        </w:tc>
        <w:tc>
          <w:tcPr>
            <w:tcW w:w="2016" w:type="dxa"/>
            <w:tcBorders>
              <w:top w:val="single" w:sz="4" w:space="0" w:color="000000"/>
              <w:bottom w:val="single" w:sz="4" w:space="0" w:color="000000"/>
            </w:tcBorders>
          </w:tcPr>
          <w:p w14:paraId="16082F3C" w14:textId="77777777" w:rsidR="000A4C2C" w:rsidRDefault="00000000">
            <w:pPr>
              <w:jc w:val="center"/>
            </w:pPr>
            <w:r>
              <w:t>+0.120</w:t>
            </w:r>
          </w:p>
        </w:tc>
        <w:tc>
          <w:tcPr>
            <w:tcW w:w="2016" w:type="dxa"/>
            <w:tcBorders>
              <w:top w:val="single" w:sz="4" w:space="0" w:color="000000"/>
              <w:bottom w:val="single" w:sz="4" w:space="0" w:color="000000"/>
            </w:tcBorders>
          </w:tcPr>
          <w:p w14:paraId="5308D608" w14:textId="77777777" w:rsidR="000A4C2C" w:rsidRDefault="00000000">
            <w:pPr>
              <w:jc w:val="center"/>
            </w:pPr>
            <w:r>
              <w:t>p &lt; 0.001</w:t>
            </w:r>
          </w:p>
        </w:tc>
      </w:tr>
      <w:tr w:rsidR="000A4C2C" w14:paraId="34BCF7ED" w14:textId="77777777">
        <w:trPr>
          <w:jc w:val="center"/>
        </w:trPr>
        <w:tc>
          <w:tcPr>
            <w:tcW w:w="2016" w:type="dxa"/>
            <w:tcBorders>
              <w:top w:val="single" w:sz="4" w:space="0" w:color="000000"/>
              <w:bottom w:val="single" w:sz="4" w:space="0" w:color="000000"/>
            </w:tcBorders>
          </w:tcPr>
          <w:p w14:paraId="66085DEC" w14:textId="77777777" w:rsidR="000A4C2C" w:rsidRDefault="00000000">
            <w:pPr>
              <w:jc w:val="left"/>
            </w:pPr>
            <w:r>
              <w:t>Intersection-over-Union</w:t>
            </w:r>
          </w:p>
        </w:tc>
        <w:tc>
          <w:tcPr>
            <w:tcW w:w="2016" w:type="dxa"/>
            <w:tcBorders>
              <w:top w:val="single" w:sz="4" w:space="0" w:color="000000"/>
              <w:bottom w:val="single" w:sz="4" w:space="0" w:color="000000"/>
            </w:tcBorders>
          </w:tcPr>
          <w:p w14:paraId="6A080105" w14:textId="77777777" w:rsidR="000A4C2C" w:rsidRDefault="00000000">
            <w:pPr>
              <w:jc w:val="center"/>
            </w:pPr>
            <w:r>
              <w:t>0.730</w:t>
            </w:r>
          </w:p>
        </w:tc>
        <w:tc>
          <w:tcPr>
            <w:tcW w:w="2016" w:type="dxa"/>
            <w:tcBorders>
              <w:top w:val="single" w:sz="4" w:space="0" w:color="000000"/>
              <w:bottom w:val="single" w:sz="4" w:space="0" w:color="000000"/>
            </w:tcBorders>
          </w:tcPr>
          <w:p w14:paraId="501C184C" w14:textId="77777777" w:rsidR="000A4C2C" w:rsidRDefault="00000000">
            <w:pPr>
              <w:jc w:val="center"/>
            </w:pPr>
            <w:r>
              <w:t>0.920</w:t>
            </w:r>
          </w:p>
        </w:tc>
        <w:tc>
          <w:tcPr>
            <w:tcW w:w="2016" w:type="dxa"/>
            <w:tcBorders>
              <w:top w:val="single" w:sz="4" w:space="0" w:color="000000"/>
              <w:bottom w:val="single" w:sz="4" w:space="0" w:color="000000"/>
            </w:tcBorders>
          </w:tcPr>
          <w:p w14:paraId="60DD02A2" w14:textId="77777777" w:rsidR="000A4C2C" w:rsidRDefault="00000000">
            <w:pPr>
              <w:jc w:val="center"/>
            </w:pPr>
            <w:r>
              <w:t>+0.190</w:t>
            </w:r>
          </w:p>
        </w:tc>
        <w:tc>
          <w:tcPr>
            <w:tcW w:w="2016" w:type="dxa"/>
            <w:tcBorders>
              <w:top w:val="single" w:sz="4" w:space="0" w:color="000000"/>
              <w:bottom w:val="single" w:sz="4" w:space="0" w:color="000000"/>
            </w:tcBorders>
          </w:tcPr>
          <w:p w14:paraId="19BAF7B1" w14:textId="77777777" w:rsidR="000A4C2C" w:rsidRDefault="00000000">
            <w:pPr>
              <w:jc w:val="center"/>
            </w:pPr>
            <w:r>
              <w:t>p &lt; 0.001</w:t>
            </w:r>
          </w:p>
        </w:tc>
      </w:tr>
      <w:tr w:rsidR="000A4C2C" w14:paraId="49F3262B" w14:textId="77777777">
        <w:trPr>
          <w:jc w:val="center"/>
        </w:trPr>
        <w:tc>
          <w:tcPr>
            <w:tcW w:w="2016" w:type="dxa"/>
            <w:tcBorders>
              <w:top w:val="single" w:sz="4" w:space="0" w:color="000000"/>
              <w:bottom w:val="single" w:sz="4" w:space="0" w:color="000000"/>
            </w:tcBorders>
          </w:tcPr>
          <w:p w14:paraId="50800288" w14:textId="77777777" w:rsidR="000A4C2C" w:rsidRDefault="00000000">
            <w:pPr>
              <w:jc w:val="left"/>
            </w:pPr>
            <w:r>
              <w:t>Sensitivity (Recall)</w:t>
            </w:r>
          </w:p>
        </w:tc>
        <w:tc>
          <w:tcPr>
            <w:tcW w:w="2016" w:type="dxa"/>
            <w:tcBorders>
              <w:top w:val="single" w:sz="4" w:space="0" w:color="000000"/>
              <w:bottom w:val="single" w:sz="4" w:space="0" w:color="000000"/>
            </w:tcBorders>
          </w:tcPr>
          <w:p w14:paraId="59EE0787" w14:textId="77777777" w:rsidR="000A4C2C" w:rsidRDefault="00000000">
            <w:pPr>
              <w:jc w:val="center"/>
            </w:pPr>
            <w:r>
              <w:t>0.860</w:t>
            </w:r>
          </w:p>
        </w:tc>
        <w:tc>
          <w:tcPr>
            <w:tcW w:w="2016" w:type="dxa"/>
            <w:tcBorders>
              <w:top w:val="single" w:sz="4" w:space="0" w:color="000000"/>
              <w:bottom w:val="single" w:sz="4" w:space="0" w:color="000000"/>
            </w:tcBorders>
          </w:tcPr>
          <w:p w14:paraId="1BA3A401" w14:textId="77777777" w:rsidR="000A4C2C" w:rsidRDefault="00000000">
            <w:pPr>
              <w:jc w:val="center"/>
            </w:pPr>
            <w:r>
              <w:t>0.970</w:t>
            </w:r>
          </w:p>
        </w:tc>
        <w:tc>
          <w:tcPr>
            <w:tcW w:w="2016" w:type="dxa"/>
            <w:tcBorders>
              <w:top w:val="single" w:sz="4" w:space="0" w:color="000000"/>
              <w:bottom w:val="single" w:sz="4" w:space="0" w:color="000000"/>
            </w:tcBorders>
          </w:tcPr>
          <w:p w14:paraId="6FD78BA8" w14:textId="77777777" w:rsidR="000A4C2C" w:rsidRDefault="00000000">
            <w:pPr>
              <w:jc w:val="center"/>
            </w:pPr>
            <w:r>
              <w:t>+0.110</w:t>
            </w:r>
          </w:p>
        </w:tc>
        <w:tc>
          <w:tcPr>
            <w:tcW w:w="2016" w:type="dxa"/>
            <w:tcBorders>
              <w:top w:val="single" w:sz="4" w:space="0" w:color="000000"/>
              <w:bottom w:val="single" w:sz="4" w:space="0" w:color="000000"/>
            </w:tcBorders>
          </w:tcPr>
          <w:p w14:paraId="3B15AF4E" w14:textId="77777777" w:rsidR="000A4C2C" w:rsidRDefault="00000000">
            <w:pPr>
              <w:jc w:val="center"/>
            </w:pPr>
            <w:r>
              <w:t>p &lt; 0.01</w:t>
            </w:r>
          </w:p>
        </w:tc>
      </w:tr>
      <w:tr w:rsidR="000A4C2C" w14:paraId="2260842D" w14:textId="77777777">
        <w:trPr>
          <w:jc w:val="center"/>
        </w:trPr>
        <w:tc>
          <w:tcPr>
            <w:tcW w:w="2016" w:type="dxa"/>
            <w:tcBorders>
              <w:top w:val="single" w:sz="4" w:space="0" w:color="000000"/>
              <w:bottom w:val="single" w:sz="4" w:space="0" w:color="000000"/>
            </w:tcBorders>
          </w:tcPr>
          <w:p w14:paraId="100C0981" w14:textId="77777777" w:rsidR="000A4C2C" w:rsidRDefault="00000000">
            <w:pPr>
              <w:jc w:val="left"/>
            </w:pPr>
            <w:r>
              <w:t>Specificity</w:t>
            </w:r>
          </w:p>
        </w:tc>
        <w:tc>
          <w:tcPr>
            <w:tcW w:w="2016" w:type="dxa"/>
            <w:tcBorders>
              <w:top w:val="single" w:sz="4" w:space="0" w:color="000000"/>
              <w:bottom w:val="single" w:sz="4" w:space="0" w:color="000000"/>
            </w:tcBorders>
          </w:tcPr>
          <w:p w14:paraId="38D55116" w14:textId="77777777" w:rsidR="000A4C2C" w:rsidRDefault="00000000">
            <w:pPr>
              <w:jc w:val="center"/>
            </w:pPr>
            <w:r>
              <w:t>0.970</w:t>
            </w:r>
          </w:p>
        </w:tc>
        <w:tc>
          <w:tcPr>
            <w:tcW w:w="2016" w:type="dxa"/>
            <w:tcBorders>
              <w:top w:val="single" w:sz="4" w:space="0" w:color="000000"/>
              <w:bottom w:val="single" w:sz="4" w:space="0" w:color="000000"/>
            </w:tcBorders>
          </w:tcPr>
          <w:p w14:paraId="6A948DCF" w14:textId="77777777" w:rsidR="000A4C2C" w:rsidRDefault="00000000">
            <w:pPr>
              <w:jc w:val="center"/>
            </w:pPr>
            <w:r>
              <w:t>0.990</w:t>
            </w:r>
          </w:p>
        </w:tc>
        <w:tc>
          <w:tcPr>
            <w:tcW w:w="2016" w:type="dxa"/>
            <w:tcBorders>
              <w:top w:val="single" w:sz="4" w:space="0" w:color="000000"/>
              <w:bottom w:val="single" w:sz="4" w:space="0" w:color="000000"/>
            </w:tcBorders>
          </w:tcPr>
          <w:p w14:paraId="60112FB7" w14:textId="77777777" w:rsidR="000A4C2C" w:rsidRDefault="00000000">
            <w:pPr>
              <w:jc w:val="center"/>
            </w:pPr>
            <w:r>
              <w:t>+0.020</w:t>
            </w:r>
          </w:p>
        </w:tc>
        <w:tc>
          <w:tcPr>
            <w:tcW w:w="2016" w:type="dxa"/>
            <w:tcBorders>
              <w:top w:val="single" w:sz="4" w:space="0" w:color="000000"/>
              <w:bottom w:val="single" w:sz="4" w:space="0" w:color="000000"/>
            </w:tcBorders>
          </w:tcPr>
          <w:p w14:paraId="0E606071" w14:textId="77777777" w:rsidR="000A4C2C" w:rsidRDefault="00000000">
            <w:pPr>
              <w:jc w:val="center"/>
            </w:pPr>
            <w:r>
              <w:t>p = 0.04</w:t>
            </w:r>
          </w:p>
        </w:tc>
      </w:tr>
    </w:tbl>
    <w:p w14:paraId="6BBB83DE" w14:textId="77777777" w:rsidR="000A4C2C" w:rsidRDefault="00000000">
      <w:pPr>
        <w:jc w:val="center"/>
      </w:pPr>
      <w:r>
        <w:rPr>
          <w:sz w:val="17"/>
        </w:rPr>
        <w:t>TABLE I: EXHAUSTIVE SEGMENTATION PERFORMANCE MATRIX</w:t>
      </w:r>
    </w:p>
    <w:p w14:paraId="13BECD78" w14:textId="77777777" w:rsidR="000A4C2C" w:rsidRDefault="00000000">
      <w:pPr>
        <w:keepNext/>
        <w:spacing w:before="280" w:after="120"/>
      </w:pPr>
      <w:r>
        <w:rPr>
          <w:b/>
          <w:sz w:val="21"/>
        </w:rPr>
        <w:t>VII. COMPREHENSIVE DISCUSSION</w:t>
      </w:r>
    </w:p>
    <w:p w14:paraId="19DD24C6" w14:textId="77777777" w:rsidR="000A4C2C" w:rsidRDefault="00000000">
      <w:pPr>
        <w:keepNext/>
        <w:spacing w:before="200" w:after="80"/>
      </w:pPr>
      <w:r>
        <w:rPr>
          <w:i/>
        </w:rPr>
        <w:t>A. Boundary Delineation Failures in Variational Frameworks</w:t>
      </w:r>
    </w:p>
    <w:p w14:paraId="53D891E6" w14:textId="77777777" w:rsidR="000A4C2C" w:rsidRDefault="00000000">
      <w:r>
        <w:t>The quantitative performance matrix reveals clear limitations in the classical variational framework when handling highly variable tissue geometries [9]. The Active Contour Model achieved an acceptable pixel accuracy of 95.6%, but this metric is often misleadingly high because it is dominated by the easily classified background pixels. When looking at the structural overlap metrics, the ACM drops to a Dice Score of 0.84 and an IoU of 0.73. This degradation stems directly from the model's reliance on localized image gradients. When a tumor boundary is diffuse or has low contrast, the external forces weaken, causing the contour to either leak into surrounding tissues or stall before reaching the true margin.</w:t>
      </w:r>
    </w:p>
    <w:p w14:paraId="366219D2" w14:textId="77777777" w:rsidR="000A4C2C" w:rsidRDefault="00000000">
      <w:pPr>
        <w:keepNext/>
        <w:spacing w:before="200" w:after="80"/>
      </w:pPr>
      <w:r>
        <w:rPr>
          <w:i/>
        </w:rPr>
        <w:t>B. Robust Spatial Abstraction in Deep Learning Layers</w:t>
      </w:r>
    </w:p>
    <w:p w14:paraId="6C854B07" w14:textId="77777777" w:rsidR="000A4C2C" w:rsidRDefault="00000000">
      <w:r>
        <w:t>The ResUNet model bypasses these limitations by learning hierarchical visual features from large datasets [3]. Instead of relying solely on local edge gradients, its encoder layers extract robust semantic contexts that capture the broader structural layout. The inclusion of residual blocks allows the network to maintain high-fidelity tracking of delicate details, resulting in a significantly higher Dice Score of 0.96 and an IoU of 0.92. This improvement is clinically vital, as it drastically reduces the manual corrections required by radiologists and minimizes the risk of missing invasive tumor extensions during radiation treatment planning.</w:t>
      </w:r>
    </w:p>
    <w:p w14:paraId="509C3F28" w14:textId="77777777" w:rsidR="000A4C2C" w:rsidRDefault="00000000">
      <w:pPr>
        <w:keepNext/>
        <w:spacing w:before="280" w:after="120"/>
      </w:pPr>
      <w:r>
        <w:rPr>
          <w:b/>
          <w:sz w:val="21"/>
        </w:rPr>
        <w:t>VIII. STRATEGIC CLINICAL DEPLOYMENT RECOMMENDATIONS</w:t>
      </w:r>
    </w:p>
    <w:p w14:paraId="152FC5DD" w14:textId="77777777" w:rsidR="000A4C2C" w:rsidRDefault="00000000">
      <w:r>
        <w:t>Deploying automated segmentation frameworks into active clinical workflows requires balancing raw accuracy against computational constraints. The Active Contour Model requires no training data and executes rapidly with minimal computational resources, making it a viable option for low-resource clinics or edge diagnostic devices. However, for high-throughput, clinical-grade applications where segmentation accuracy is paramount, ResUNet is the recommended framework. Its superior robustness across highly variable tumor shapes justifies the upfront computational cost of training and the requirement for dedicated GPU hardware during deployment.</w:t>
      </w:r>
    </w:p>
    <w:p w14:paraId="64C66B13" w14:textId="77777777" w:rsidR="000A4C2C" w:rsidRDefault="00000000">
      <w:pPr>
        <w:keepNext/>
        <w:spacing w:before="280" w:after="120"/>
      </w:pPr>
      <w:r>
        <w:rPr>
          <w:b/>
          <w:sz w:val="21"/>
        </w:rPr>
        <w:t>IX. FUTURE WORK AND ROADMAPS</w:t>
      </w:r>
    </w:p>
    <w:p w14:paraId="2B06B628" w14:textId="77777777" w:rsidR="000A4C2C" w:rsidRDefault="00000000">
      <w:r>
        <w:t>Future research will focus on improving the efficiency and clinical integration of deep learning models [5]. Key areas of exploration include network pruning and quantization to lower hardware requirements, allowing ResUNet to run efficiently on standard hospital workstations. Additionally, we plan to explore self-</w:t>
      </w:r>
      <w:r>
        <w:lastRenderedPageBreak/>
        <w:t>supervised learning methods to reduce the dependency on large, manually annotated training datasets, alongside integrating uncertainty estimation maps to provide clinicians with confidence levels for automated boundary predictions.</w:t>
      </w:r>
    </w:p>
    <w:p w14:paraId="3B86F8D8" w14:textId="77777777" w:rsidR="000A4C2C" w:rsidRDefault="00000000">
      <w:pPr>
        <w:keepNext/>
        <w:spacing w:before="280" w:after="120"/>
      </w:pPr>
      <w:r>
        <w:rPr>
          <w:b/>
          <w:sz w:val="21"/>
        </w:rPr>
        <w:t>X. CONCLUSION</w:t>
      </w:r>
    </w:p>
    <w:p w14:paraId="440547EA" w14:textId="77777777" w:rsidR="000A4C2C" w:rsidRDefault="00000000">
      <w:r>
        <w:t>This comprehensive evaluation demonstrates that the deep learning ResUNet framework significantly outperforms the classical Active Contour Model across all evaluated medical imaging standards. By successfully combining multi-scale skip connections with residual short-circuit pathways, ResUNet provides the high accuracy and robust generalization required for clinical computer-aided diagnosis systems, establishing a reliable baseline for automated neuro-oncological analysis.</w:t>
      </w:r>
    </w:p>
    <w:p w14:paraId="19A4C6DC" w14:textId="77777777" w:rsidR="000A4C2C" w:rsidRDefault="00000000">
      <w:pPr>
        <w:keepNext/>
        <w:spacing w:before="280" w:after="120"/>
      </w:pPr>
      <w:r>
        <w:rPr>
          <w:b/>
          <w:sz w:val="21"/>
        </w:rPr>
        <w:t>REFERENCES</w:t>
      </w:r>
    </w:p>
    <w:p w14:paraId="616D9A25" w14:textId="77777777" w:rsidR="000A4C2C" w:rsidRDefault="00000000">
      <w:pPr>
        <w:spacing w:after="40"/>
        <w:ind w:left="360"/>
      </w:pPr>
      <w:r>
        <w:rPr>
          <w:sz w:val="17"/>
        </w:rPr>
        <w:t>[1] O. Ronneberger, P. Fischer, and T. Brox, "U-Net: Convolutional networks for biomedical image segmentation," in Medical Image Computing and Computer-Assisted Intervention (MICCAI), vol. 9351, 2015, pp. 234–241.</w:t>
      </w:r>
    </w:p>
    <w:p w14:paraId="44BF6E6F" w14:textId="77777777" w:rsidR="000A4C2C" w:rsidRDefault="00000000">
      <w:pPr>
        <w:spacing w:after="40"/>
        <w:ind w:left="360"/>
      </w:pPr>
      <w:r>
        <w:rPr>
          <w:sz w:val="17"/>
        </w:rPr>
        <w:t>[2] M. Kass, A. Witkin, and D. Terzopoulos, "Snakes: Active contour models," International Journal of Computer Vision, vol. 1, no. 4, pp. 321–331, 1988.</w:t>
      </w:r>
    </w:p>
    <w:p w14:paraId="7EFC6EDD" w14:textId="77777777" w:rsidR="000A4C2C" w:rsidRDefault="00000000">
      <w:pPr>
        <w:spacing w:after="40"/>
        <w:ind w:left="360"/>
      </w:pPr>
      <w:r>
        <w:rPr>
          <w:sz w:val="17"/>
        </w:rPr>
        <w:t>[3] Z. Zhang, Q. Liu, and Y. Wang, "Road extraction by deep residual U-Net," IEEE Geoscience and Remote Sensing Letters, vol. 15, no. 5, pp. 749–753, 2018.</w:t>
      </w:r>
    </w:p>
    <w:p w14:paraId="35360C9F" w14:textId="77777777" w:rsidR="000A4C2C" w:rsidRDefault="00000000">
      <w:pPr>
        <w:spacing w:after="40"/>
        <w:ind w:left="360"/>
      </w:pPr>
      <w:r>
        <w:rPr>
          <w:sz w:val="17"/>
        </w:rPr>
        <w:t>[4] K. He, X. Zhang, S. Ren, and J. Sun, "Deep residual learning for image recognition," in IEEE Conference on Computer Vision and Pattern Recognition (CVPR), 2016, pp. 770–778.</w:t>
      </w:r>
    </w:p>
    <w:p w14:paraId="758EFECF" w14:textId="77777777" w:rsidR="000A4C2C" w:rsidRDefault="00000000">
      <w:pPr>
        <w:spacing w:after="40"/>
        <w:ind w:left="360"/>
      </w:pPr>
      <w:r>
        <w:rPr>
          <w:sz w:val="17"/>
        </w:rPr>
        <w:t>[5] F. Isensee, P. Jaeger, S. Kohl, J. Petersen, and K. Maier-Hein, "nnU-Net: a self-configuring method for deep learning-based biomedical image segmentation," Nature Methods, vol. 18, pp. 203-221, 2021.</w:t>
      </w:r>
    </w:p>
    <w:p w14:paraId="09D23D3E" w14:textId="77777777" w:rsidR="000A4C2C" w:rsidRDefault="00000000">
      <w:pPr>
        <w:spacing w:after="40"/>
        <w:ind w:left="360"/>
      </w:pPr>
      <w:r>
        <w:rPr>
          <w:sz w:val="17"/>
        </w:rPr>
        <w:t>[6] H. Greenspan, B. van Ginneken, and R. M. Summers, "Deep learning in medical image analysis," IEEE Transactions on Medical Imaging, vol. 35, no. 5, pp. 1153–1159, 2016.</w:t>
      </w:r>
    </w:p>
    <w:p w14:paraId="618438AE" w14:textId="77777777" w:rsidR="000A4C2C" w:rsidRDefault="00000000">
      <w:pPr>
        <w:spacing w:after="40"/>
        <w:ind w:left="360"/>
      </w:pPr>
      <w:r>
        <w:rPr>
          <w:sz w:val="17"/>
        </w:rPr>
        <w:t>[7] V. Badrinarayanan, A. Kendall, and R. Cipolla, "SegNet: A deep convolutional encoder-decoder architecture for image segmentation," IEEE Transactions on Pattern Analysis and Machine Intelligence, vol. 39, no. 12, pp. 2481–2495, 2017.</w:t>
      </w:r>
    </w:p>
    <w:p w14:paraId="287F5E27" w14:textId="77777777" w:rsidR="000A4C2C" w:rsidRDefault="00000000">
      <w:pPr>
        <w:spacing w:after="40"/>
        <w:ind w:left="360"/>
      </w:pPr>
      <w:r>
        <w:rPr>
          <w:sz w:val="17"/>
        </w:rPr>
        <w:t>[8] D. Terzopoulos, "The computation of visible-surface representations," IEEE Transactions on Pattern Analysis and Machine Intelligence, vol. 10, no. 4, pp. 417–438, 1988.</w:t>
      </w:r>
    </w:p>
    <w:p w14:paraId="394BCA12" w14:textId="77777777" w:rsidR="000A4C2C" w:rsidRDefault="00000000">
      <w:pPr>
        <w:spacing w:after="40"/>
        <w:ind w:left="360"/>
      </w:pPr>
      <w:r>
        <w:rPr>
          <w:sz w:val="17"/>
        </w:rPr>
        <w:t>[9] T. F. Chan and L. A. Vese, "Active contours without edges," IEEE Transactions on Image Processing, vol. 10, no. 2, pp. 266–277, 2001.</w:t>
      </w:r>
    </w:p>
    <w:p w14:paraId="2B93EE74" w14:textId="77777777" w:rsidR="000A4C2C" w:rsidRDefault="00000000">
      <w:pPr>
        <w:spacing w:after="40"/>
        <w:ind w:left="360"/>
      </w:pPr>
      <w:r>
        <w:rPr>
          <w:sz w:val="17"/>
        </w:rPr>
        <w:t>[10] D. N. Louis et al., "The 2021 World Health Organization classification of tumors of the central nervous system: a summary," Neuro-Oncology, vol. 23, no. 8, pp. 1231–1251, 2021.</w:t>
      </w:r>
    </w:p>
    <w:sectPr w:rsidR="000A4C2C" w:rsidSect="00034616">
      <w:type w:val="nextColumn"/>
      <w:pgSz w:w="12240" w:h="15840"/>
      <w:pgMar w:top="1080" w:right="1080" w:bottom="1080" w:left="108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5691989">
    <w:abstractNumId w:val="8"/>
  </w:num>
  <w:num w:numId="2" w16cid:durableId="241989421">
    <w:abstractNumId w:val="6"/>
  </w:num>
  <w:num w:numId="3" w16cid:durableId="1167280638">
    <w:abstractNumId w:val="5"/>
  </w:num>
  <w:num w:numId="4" w16cid:durableId="822043254">
    <w:abstractNumId w:val="4"/>
  </w:num>
  <w:num w:numId="5" w16cid:durableId="1310674489">
    <w:abstractNumId w:val="7"/>
  </w:num>
  <w:num w:numId="6" w16cid:durableId="602034392">
    <w:abstractNumId w:val="3"/>
  </w:num>
  <w:num w:numId="7" w16cid:durableId="1867055872">
    <w:abstractNumId w:val="2"/>
  </w:num>
  <w:num w:numId="8" w16cid:durableId="151993436">
    <w:abstractNumId w:val="1"/>
  </w:num>
  <w:num w:numId="9" w16cid:durableId="139466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C2C"/>
    <w:rsid w:val="0015074B"/>
    <w:rsid w:val="0029639D"/>
    <w:rsid w:val="00326F90"/>
    <w:rsid w:val="003D5983"/>
    <w:rsid w:val="0073565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B449C4"/>
  <w14:defaultImageDpi w14:val="300"/>
  <w15:docId w15:val="{E315D0DF-8E9F-4E5A-BB8C-2B5A081C4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jc w:val="both"/>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2861</Words>
  <Characters>16313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 bait</cp:lastModifiedBy>
  <cp:revision>2</cp:revision>
  <dcterms:created xsi:type="dcterms:W3CDTF">2013-12-23T23:15:00Z</dcterms:created>
  <dcterms:modified xsi:type="dcterms:W3CDTF">2026-07-16T23:00:00Z</dcterms:modified>
  <cp:category/>
</cp:coreProperties>
</file>