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8A0772" w14:textId="18673952" w:rsidR="0096301F" w:rsidRDefault="00E80814">
      <w:r>
        <w:t>Module 3 Computational Lab Assignment README</w:t>
      </w:r>
    </w:p>
    <w:p w14:paraId="0F243D81" w14:textId="77777777" w:rsidR="00E80814" w:rsidRDefault="00E80814"/>
    <w:p w14:paraId="620FDE3F" w14:textId="63BCDE93" w:rsidR="00E80814" w:rsidRDefault="00E80814">
      <w:r>
        <w:t xml:space="preserve">This </w:t>
      </w:r>
      <w:r w:rsidR="00410305">
        <w:t xml:space="preserve">computational lab builds on the last one and re-ranks the potential gene targets by asking if the targets resemble proteins that we already know how to drug. This </w:t>
      </w:r>
      <w:proofErr w:type="gramStart"/>
      <w:r w:rsidR="00410305">
        <w:t>particular computational</w:t>
      </w:r>
      <w:proofErr w:type="gramEnd"/>
      <w:r w:rsidR="00410305">
        <w:t xml:space="preserve"> lab goes further than what the second lab generated, as the second lab’s “targets_leukemia.csv” file only contained genomic and transcriptomic data. For this assignment, I added proteomic data as well. </w:t>
      </w:r>
      <w:r w:rsidR="00410305">
        <w:rPr>
          <w:u w:val="single"/>
        </w:rPr>
        <w:t>But</w:t>
      </w:r>
      <w:r w:rsidR="00410305">
        <w:rPr>
          <w:b/>
          <w:bCs/>
          <w:u w:val="single"/>
        </w:rPr>
        <w:t xml:space="preserve"> </w:t>
      </w:r>
      <w:r w:rsidR="00410305">
        <w:t xml:space="preserve">the data I added, was for adult AML patients. My initial project focused on pediatric leukemia, but </w:t>
      </w:r>
      <w:proofErr w:type="gramStart"/>
      <w:r w:rsidR="00410305">
        <w:t>unfortunately</w:t>
      </w:r>
      <w:proofErr w:type="gramEnd"/>
      <w:r w:rsidR="00410305">
        <w:t xml:space="preserve"> I could not find proteomic data for that. Therefore, I used the adult proteomic data. This unfortunately means that the druggable targets that my computational lab has generated are may or may not exactly be accurate to pediatric </w:t>
      </w:r>
      <w:proofErr w:type="gramStart"/>
      <w:r w:rsidR="00410305">
        <w:t>leukemia, but</w:t>
      </w:r>
      <w:proofErr w:type="gramEnd"/>
      <w:r w:rsidR="00410305">
        <w:t xml:space="preserve"> rather serves as a guide as to where to look and what </w:t>
      </w:r>
      <w:r w:rsidR="00410305">
        <w:rPr>
          <w:i/>
          <w:iCs/>
        </w:rPr>
        <w:t xml:space="preserve">potentially </w:t>
      </w:r>
      <w:r w:rsidR="00410305">
        <w:t xml:space="preserve">might be good druggable targets. </w:t>
      </w:r>
    </w:p>
    <w:p w14:paraId="06B117AE" w14:textId="37D9753D" w:rsidR="00410305" w:rsidRDefault="00410305" w:rsidP="00410305">
      <w:pPr>
        <w:pStyle w:val="ListParagraph"/>
        <w:numPr>
          <w:ilvl w:val="0"/>
          <w:numId w:val="1"/>
        </w:numPr>
      </w:pPr>
      <w:r>
        <w:t xml:space="preserve">Re-ranking: The new ranking does not agree with what I had generated in the module 2 computational lab. </w:t>
      </w:r>
      <w:r w:rsidRPr="00410305">
        <w:t xml:space="preserve">The largest movers were HLA-DRB5 (12 → 7) and CD72 (13 → </w:t>
      </w:r>
      <w:proofErr w:type="gramStart"/>
      <w:r w:rsidRPr="00410305">
        <w:t>8)*</w:t>
      </w:r>
      <w:proofErr w:type="gramEnd"/>
      <w:r w:rsidRPr="00410305">
        <w:t xml:space="preserve"> both up five places on high antibody priors</w:t>
      </w:r>
      <w:r>
        <w:t xml:space="preserve">, </w:t>
      </w:r>
      <w:r w:rsidRPr="00410305">
        <w:t>while NRIP1 (6 → 10), R3HDM4 (9 → 13) and TCL1A (10 → 14) each fell four places because both priors are near zero for these intracellular regulators. LY86 and EVI2A tied for first (final = 0.827</w:t>
      </w:r>
      <w:proofErr w:type="gramStart"/>
      <w:r w:rsidRPr="00410305">
        <w:t>)</w:t>
      </w:r>
      <w:proofErr w:type="gramEnd"/>
      <w:r>
        <w:t xml:space="preserve"> and the</w:t>
      </w:r>
      <w:r w:rsidRPr="00410305">
        <w:t xml:space="preserve"> tie </w:t>
      </w:r>
      <w:r>
        <w:t>was</w:t>
      </w:r>
      <w:r w:rsidRPr="00410305">
        <w:t xml:space="preserve"> broken by table order</w:t>
      </w:r>
      <w:r>
        <w:t xml:space="preserve">. I am not exactly sure what “w” refers to, but after looking it up, I think I would set my w = 0.6. This is because this lab uses pediatric and adult proteomic data, not one or the other. </w:t>
      </w:r>
      <w:r w:rsidR="0047181F">
        <w:t xml:space="preserve">Secondly, </w:t>
      </w:r>
      <w:proofErr w:type="gramStart"/>
      <w:r w:rsidR="0047181F" w:rsidRPr="0047181F">
        <w:t>The</w:t>
      </w:r>
      <w:proofErr w:type="gramEnd"/>
      <w:r w:rsidR="0047181F" w:rsidRPr="0047181F">
        <w:t xml:space="preserve"> result is stable: the same four genes (LY86, EVI2A, HLA-C, MX2) make the top four at every w from 0.5 to 0.7, so the conclusions do not hinge on the exact choice.</w:t>
      </w:r>
    </w:p>
    <w:p w14:paraId="1F9689F0" w14:textId="1834596F" w:rsidR="00410305" w:rsidRDefault="00844C63" w:rsidP="00410305">
      <w:pPr>
        <w:pStyle w:val="ListParagraph"/>
        <w:numPr>
          <w:ilvl w:val="0"/>
          <w:numId w:val="1"/>
        </w:numPr>
      </w:pPr>
      <w:r w:rsidRPr="00844C63">
        <w:t>CD72</w:t>
      </w:r>
      <w:r>
        <w:t xml:space="preserve"> </w:t>
      </w:r>
      <w:r w:rsidRPr="00844C63">
        <w:t>shows the sharpest split (</w:t>
      </w:r>
      <w:proofErr w:type="spellStart"/>
      <w:r w:rsidRPr="00844C63">
        <w:t>p_sm</w:t>
      </w:r>
      <w:proofErr w:type="spellEnd"/>
      <w:r w:rsidRPr="00844C63">
        <w:t xml:space="preserve"> 0.003 vs </w:t>
      </w:r>
      <w:proofErr w:type="spellStart"/>
      <w:r w:rsidRPr="00844C63">
        <w:t>p_ab</w:t>
      </w:r>
      <w:proofErr w:type="spellEnd"/>
      <w:r w:rsidRPr="00844C63">
        <w:t xml:space="preserve"> 0.686). CD72 is a type II transmembrane C-type lectin on B-lineage cells that acts as an inhibitory co-receptor of the B-cell receptor.</w:t>
      </w:r>
      <w:r>
        <w:t xml:space="preserve"> It has an accessible extracellular domain for antibody and CART drugs, while not having an enzymatic site for small molecule drugs. </w:t>
      </w:r>
    </w:p>
    <w:p w14:paraId="1ACCFC2B" w14:textId="77777777" w:rsidR="00844C63" w:rsidRDefault="00844C63" w:rsidP="00410305">
      <w:pPr>
        <w:pStyle w:val="ListParagraph"/>
        <w:numPr>
          <w:ilvl w:val="0"/>
          <w:numId w:val="1"/>
        </w:numPr>
      </w:pPr>
      <w:r w:rsidRPr="00844C63">
        <w:t xml:space="preserve">The family split is the honest number because a random split puts close homologs on both sides of the train/test boundary. My targets are mostly not in the </w:t>
      </w:r>
      <w:proofErr w:type="gramStart"/>
      <w:r w:rsidRPr="00844C63">
        <w:t>panel</w:t>
      </w:r>
      <w:proofErr w:type="gramEnd"/>
      <w:r w:rsidRPr="00844C63">
        <w:t xml:space="preserve"> and many have no drugged relatives, which is the family-split situation, not the random-split one.</w:t>
      </w:r>
      <w:r>
        <w:t xml:space="preserve"> T</w:t>
      </w:r>
      <w:r w:rsidRPr="00844C63">
        <w:t xml:space="preserve">he gap between the two splits shows how much of the apparent performance is </w:t>
      </w:r>
      <w:r>
        <w:t xml:space="preserve">recognizing similarities. </w:t>
      </w:r>
    </w:p>
    <w:p w14:paraId="6056C894" w14:textId="063885BB" w:rsidR="00844C63" w:rsidRDefault="00844C63" w:rsidP="00410305">
      <w:pPr>
        <w:pStyle w:val="ListParagraph"/>
        <w:numPr>
          <w:ilvl w:val="0"/>
          <w:numId w:val="1"/>
        </w:numPr>
      </w:pPr>
      <w:r>
        <w:t>A</w:t>
      </w:r>
      <w:r w:rsidRPr="00844C63">
        <w:t xml:space="preserve">POE R176C scores −8.56 (11.8th percentile within APOE), APOE C130R +7.21 (100th percentile), TREM2 R47H −5.16 (47.7th) and TP53 R175H −5.97 (19.3rd). These scores are the model's log-likelihood of the mutant residue relative to the </w:t>
      </w:r>
      <w:r w:rsidRPr="00844C63">
        <w:lastRenderedPageBreak/>
        <w:t>wild-type given the sequence context: they measure how evolutionarily unusual a substitution is, not whether it causes disease.</w:t>
      </w:r>
      <w:r>
        <w:t xml:space="preserve"> </w:t>
      </w:r>
    </w:p>
    <w:p w14:paraId="5B905415" w14:textId="6463AE2E" w:rsidR="00844C63" w:rsidRPr="00410305" w:rsidRDefault="00844C63" w:rsidP="00410305">
      <w:pPr>
        <w:pStyle w:val="ListParagraph"/>
        <w:numPr>
          <w:ilvl w:val="0"/>
          <w:numId w:val="1"/>
        </w:numPr>
      </w:pPr>
      <w:r w:rsidRPr="00844C63">
        <w:t>From sequence alone we cannot tell whether a protein is expressed on leukemic cells but spared on normal tissue (critical for CD72 and the HLA genes, which are also on healthy B cells and most nucleated cells), whether a druggable pocket actually exists in the folded and possibly complexed protein (LY86 works with CD180), how post-translational modifications, isoforms or disorder affect it, or whether modulating it would kill leukemic cells</w:t>
      </w:r>
      <w:r>
        <w:t xml:space="preserve">. </w:t>
      </w:r>
      <w:r w:rsidRPr="00844C63">
        <w:t>For Week 4 structure-based pocket assessment I would carry forward LY86 and MX2</w:t>
      </w:r>
      <w:r>
        <w:t xml:space="preserve">. </w:t>
      </w:r>
    </w:p>
    <w:sectPr w:rsidR="00844C63" w:rsidRPr="004103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9E96E93"/>
    <w:multiLevelType w:val="hybridMultilevel"/>
    <w:tmpl w:val="5F3AA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137601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814"/>
    <w:rsid w:val="00233ED8"/>
    <w:rsid w:val="00410305"/>
    <w:rsid w:val="0047181F"/>
    <w:rsid w:val="005D0A71"/>
    <w:rsid w:val="007D478D"/>
    <w:rsid w:val="00844C63"/>
    <w:rsid w:val="0096301F"/>
    <w:rsid w:val="00E8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B25F10"/>
  <w15:chartTrackingRefBased/>
  <w15:docId w15:val="{F7A42692-EE0B-C345-A9FA-93DC8F076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490</Words>
  <Characters>2796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 Chilukuri</dc:creator>
  <cp:keywords/>
  <dc:description/>
  <cp:lastModifiedBy>Arya Chilukuri</cp:lastModifiedBy>
  <cp:revision>2</cp:revision>
  <dcterms:created xsi:type="dcterms:W3CDTF">2026-10-14T23:56:00Z</dcterms:created>
  <dcterms:modified xsi:type="dcterms:W3CDTF">2026-10-15T18:57:00Z</dcterms:modified>
</cp:coreProperties>
</file>