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F645" w14:textId="77777777" w:rsidR="006B0BFA" w:rsidRPr="006B0BFA" w:rsidRDefault="006B0BFA" w:rsidP="006B0B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BFA">
        <w:rPr>
          <w:rFonts w:ascii="Times New Roman" w:hAnsi="Times New Roman" w:cs="Times New Roman"/>
          <w:b/>
          <w:bCs/>
          <w:sz w:val="24"/>
          <w:szCs w:val="24"/>
          <w:u w:val="single"/>
        </w:rPr>
        <w:t>Standard Terms of Business</w:t>
      </w:r>
    </w:p>
    <w:p w14:paraId="2C69FC4E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Scope</w:t>
      </w:r>
    </w:p>
    <w:p w14:paraId="5F222156" w14:textId="0AFD68B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Unless indicated otherwise the standard terms of business apply to customers seeking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or holding </w:t>
      </w:r>
      <w:r>
        <w:rPr>
          <w:rFonts w:ascii="Times New Roman" w:hAnsi="Times New Roman" w:cs="Times New Roman"/>
          <w:sz w:val="24"/>
          <w:szCs w:val="24"/>
        </w:rPr>
        <w:t xml:space="preserve">Swadeshi Standard Certification Private Limited </w:t>
      </w:r>
      <w:r w:rsidRPr="006B0BFA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”).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5B97B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Fee structure and definitions</w:t>
      </w:r>
    </w:p>
    <w:p w14:paraId="5F8CD93C" w14:textId="18A30FF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The price list that is effective from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B0BF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August, 2020</w:t>
      </w:r>
      <w:r w:rsidRPr="006B0BFA">
        <w:rPr>
          <w:rFonts w:ascii="Times New Roman" w:hAnsi="Times New Roman" w:cs="Times New Roman"/>
          <w:sz w:val="24"/>
          <w:szCs w:val="24"/>
        </w:rPr>
        <w:t xml:space="preserve"> is on page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6B0BFA">
        <w:rPr>
          <w:rFonts w:ascii="Times New Roman" w:hAnsi="Times New Roman" w:cs="Times New Roman"/>
          <w:sz w:val="24"/>
          <w:szCs w:val="24"/>
        </w:rPr>
        <w:t xml:space="preserve"> of this document. Our prices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are reviewed annually and are subject to amendment at any time.</w:t>
      </w:r>
    </w:p>
    <w:p w14:paraId="3976C464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Application Fee</w:t>
      </w:r>
    </w:p>
    <w:p w14:paraId="0EDBC467" w14:textId="4C363B2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The first step when seeking accreditation is to submit a completed application form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application fee so that we can begin consideration of the applicant’s readiness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accreditation. The fee is payable in advance of the application review process and is not refundable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applicant withdraws.</w:t>
      </w:r>
    </w:p>
    <w:p w14:paraId="200A6CDA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Pre-assessment and Initial Assessment Work</w:t>
      </w:r>
    </w:p>
    <w:p w14:paraId="5925778E" w14:textId="5E3DB29E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Pre-assessment or initial assessment work is that required for the grant of accredited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status under a standard separate from any currently held.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Surveillance and Reassessment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Once accredited, customers will be provided with a four-year programme giving an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estimate of the quantity of effort for office, assessment, overseas travel and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measurement audit work (</w:t>
      </w:r>
      <w:r w:rsidR="00F42D0A" w:rsidRPr="006B0BFA">
        <w:rPr>
          <w:rFonts w:ascii="Times New Roman" w:hAnsi="Times New Roman" w:cs="Times New Roman"/>
          <w:sz w:val="24"/>
          <w:szCs w:val="24"/>
        </w:rPr>
        <w:t xml:space="preserve">where </w:t>
      </w:r>
      <w:r w:rsidR="00F42D0A">
        <w:rPr>
          <w:rFonts w:ascii="Times New Roman" w:hAnsi="Times New Roman" w:cs="Times New Roman"/>
          <w:sz w:val="24"/>
          <w:szCs w:val="24"/>
        </w:rPr>
        <w:t>applicable</w:t>
      </w:r>
      <w:r w:rsidRPr="006B0BFA">
        <w:rPr>
          <w:rFonts w:ascii="Times New Roman" w:hAnsi="Times New Roman" w:cs="Times New Roman"/>
          <w:sz w:val="24"/>
          <w:szCs w:val="24"/>
        </w:rPr>
        <w:t>). Thereafter, customers will be advised of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any revised effort brought about by, for example, an extension to scope.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All other work, including the clearance of any nonconformity identified as a result of an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assessment, referred to as “close out effort”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, whether this involves extra visits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or not, will be subject to an additional charge over and above the quotation. Your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assessment manager will advise you of the additional time to be charged during or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reasonably soon after the assessment visit.</w:t>
      </w:r>
    </w:p>
    <w:p w14:paraId="0D685636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Extension to Scope</w:t>
      </w:r>
    </w:p>
    <w:p w14:paraId="65B78ACD" w14:textId="779BEFB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Organisations wishing to extend their accreditation must complete an appropriate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application form for the appropriate category available from our web-site. Additional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assessor, expert or administration time will be required to process and assess an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extension to scope and a separate charge will be made.</w:t>
      </w:r>
    </w:p>
    <w:p w14:paraId="7674B661" w14:textId="77777777" w:rsid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BF27A" w14:textId="242D3C7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Standard Terms of Business</w:t>
      </w:r>
    </w:p>
    <w:p w14:paraId="6A3BE191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Technical Assessment Resource Supplement</w:t>
      </w:r>
    </w:p>
    <w:p w14:paraId="128A8CAE" w14:textId="45188D3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Where a customer’s speciality or other circumstances require us to use specialist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assessors or experts with a day rate above £600 per person per day, we reserve the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right to pass on to the customer any excess charges we incur.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Measurement Audits and non-accreditation work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Measurement audit assessments (relevant to calibration laboratories) will be charged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at the standard day rate per person based on the time spent. In addition, the use of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measurement audit artefacts will be charged at a fixed administration charge for use of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each item, based on the original cost, including maintenance, of the artefact.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Other non-accreditation related work will be priced individually.</w:t>
      </w:r>
    </w:p>
    <w:p w14:paraId="6843BD49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lastRenderedPageBreak/>
        <w:t>Units of Time</w:t>
      </w:r>
    </w:p>
    <w:p w14:paraId="207C2106" w14:textId="7E341E1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Rates for our services will be calculated in days, half days or quarter days per person.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We will not bill our time for journeys wholly within the </w:t>
      </w:r>
      <w:r w:rsidR="00F42D0A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>. If the working</w:t>
      </w:r>
      <w:r w:rsidR="00F42D0A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day is unduly prolonged, an additional half or quarter day per person may be charged.</w:t>
      </w:r>
    </w:p>
    <w:p w14:paraId="550B9861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Travel Rechargeable Time</w:t>
      </w:r>
    </w:p>
    <w:p w14:paraId="1A32E96F" w14:textId="3962F06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Total travel time to reach assessment destinations outside of the </w:t>
      </w:r>
      <w:r w:rsidR="00F42D0A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and/or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offshore work which is based in the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be charged at the relevant day rate in days,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half days or quarter days per person. For the purposes of calculating total travel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rechargeable time, the </w:t>
      </w:r>
      <w:r w:rsidR="00F42D0A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include the Crown Dependencies where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total travel time is less than 3 hours.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reserves the right to charge for travel time for an assessment resource to travel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from outside of the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to conduct an assessment in the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>, where that assessment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resource is specifically required by the customer.</w:t>
      </w:r>
    </w:p>
    <w:p w14:paraId="4FC28CE2" w14:textId="5150E7C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Trapped weekend days are not generally billed. However, assessment team expenses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for trapped days will be billed (see page 7 for current Travel &amp; Subsistence rate).</w:t>
      </w:r>
    </w:p>
    <w:p w14:paraId="75A39FED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Annual Accreditation Fee</w:t>
      </w:r>
    </w:p>
    <w:p w14:paraId="394E477E" w14:textId="2FA76F0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Apart from the fees for assessment work above, some organisations will be subject to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 annual accreditation fee. For information on when this charge will be applicable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how it will be charged please refer to the price list on page 7.</w:t>
      </w:r>
    </w:p>
    <w:p w14:paraId="0B197C6D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Expenses</w:t>
      </w:r>
    </w:p>
    <w:p w14:paraId="6BC7184B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See details in the price list on page 7.</w:t>
      </w:r>
    </w:p>
    <w:p w14:paraId="4FFBE603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Scheduling of visits</w:t>
      </w:r>
    </w:p>
    <w:p w14:paraId="635166D5" w14:textId="7868C728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Customers are assigned a profile month in which their assessment (or bulk thereof) will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 conducted: In the case of witness assessments, e.g. for certification bodies, these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will be assigned a profile year.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endeavour to provide customers with more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than one option for visit dates but where this proves difficult due to technical resource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availability, customers will be required to accept the visit dates set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to ensur</w:t>
      </w:r>
      <w:r w:rsidR="00286E92">
        <w:rPr>
          <w:rFonts w:ascii="Times New Roman" w:hAnsi="Times New Roman" w:cs="Times New Roman"/>
          <w:sz w:val="24"/>
          <w:szCs w:val="24"/>
        </w:rPr>
        <w:t xml:space="preserve">e </w:t>
      </w:r>
      <w:r w:rsidRPr="006B0BFA">
        <w:rPr>
          <w:rFonts w:ascii="Times New Roman" w:hAnsi="Times New Roman" w:cs="Times New Roman"/>
          <w:sz w:val="24"/>
          <w:szCs w:val="24"/>
        </w:rPr>
        <w:t>the level of surveillance required for the maintenance of a customer’s accreditation ca</w:t>
      </w:r>
      <w:r w:rsidR="00286E92">
        <w:rPr>
          <w:rFonts w:ascii="Times New Roman" w:hAnsi="Times New Roman" w:cs="Times New Roman"/>
          <w:sz w:val="24"/>
          <w:szCs w:val="24"/>
        </w:rPr>
        <w:t xml:space="preserve">n </w:t>
      </w:r>
      <w:r w:rsidRPr="006B0BFA">
        <w:rPr>
          <w:rFonts w:ascii="Times New Roman" w:hAnsi="Times New Roman" w:cs="Times New Roman"/>
          <w:sz w:val="24"/>
          <w:szCs w:val="24"/>
        </w:rPr>
        <w:t>be provided.</w:t>
      </w:r>
    </w:p>
    <w:p w14:paraId="6D92F905" w14:textId="42A4B68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advise customers of their profile month at the point of granting accreditation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and annually thereafter in the letter to the customer confirming their maintenance of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accreditation. Customers are expected to plan resources accordingly as part of their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proactive preparation for a visit. Customers are responsible for coordinating witness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assessment visits that cover their full scope of accreditation and are required to contact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customer liaison team to provide suitable dates ideally 3 to 4 months in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advance of a site assessment.</w:t>
      </w:r>
    </w:p>
    <w:p w14:paraId="3A6813AD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Cancellation Policy and Charges</w:t>
      </w:r>
    </w:p>
    <w:p w14:paraId="18258D33" w14:textId="35A8970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Where the customer cancels or postpones the date of a visit after it has been agreed, a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fee may be payable as set out below.</w:t>
      </w:r>
    </w:p>
    <w:p w14:paraId="3067C6D1" w14:textId="694E491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Surveillance and reassessment visits will normally be agreed and booked with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customer three or more months in advance. Other assessments, including witnessed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assessments associated with surveillance and reassessment visits may be booked a</w:t>
      </w:r>
      <w:r w:rsidR="00286E92">
        <w:rPr>
          <w:rFonts w:ascii="Times New Roman" w:hAnsi="Times New Roman" w:cs="Times New Roman"/>
          <w:sz w:val="24"/>
          <w:szCs w:val="24"/>
        </w:rPr>
        <w:t xml:space="preserve">t </w:t>
      </w:r>
      <w:r w:rsidRPr="006B0BFA">
        <w:rPr>
          <w:rFonts w:ascii="Times New Roman" w:hAnsi="Times New Roman" w:cs="Times New Roman"/>
          <w:sz w:val="24"/>
          <w:szCs w:val="24"/>
        </w:rPr>
        <w:t>shorter notice.</w:t>
      </w:r>
    </w:p>
    <w:p w14:paraId="6B1DABA6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lastRenderedPageBreak/>
        <w:t>Reinstatement Fee</w:t>
      </w:r>
    </w:p>
    <w:p w14:paraId="33AE81A1" w14:textId="44B75D7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Where a customer’s accreditation is suspended for financial reasons e.g. late payment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of invoices, a fee will be charged for reinstating the accreditation when the debt has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been settled (see price list on page 7).</w:t>
      </w:r>
    </w:p>
    <w:p w14:paraId="48AFDBBF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Quotations</w:t>
      </w:r>
    </w:p>
    <w:p w14:paraId="3EA7263B" w14:textId="321CEE5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Customers will be provided a quotation before work begins and are required to confirm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their acceptance of the quotation within 14 days of the date of issue. Once work has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started, the customer is deemed to have accepted the quotation and is committed to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paying for the quoted quantity of effort and any expenses.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Although we will endeavour to carry out the job within the effort allowed by the quotation,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we reserve the right to agree and bill for a different quantity if this is what is actually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worked. Accordingly, it is in the customers’ interests to ensure that their records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evidence are of the agreed standard. Any nonconformities that are identified during an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assessment will require additional effort, referred to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as “Close out effort”,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therefore will result in additional charges. Quotations for “Close out effort” will usually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 sent after the site visit when the effort required becomes known.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Late submission of Evidence against nonconformities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date for submitting evidence will be agreed between the customer and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assessment manager during the closing meeting of an assessment. The cancellation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policy will apply where a customer submits evidence in relation to nonconformities later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than the agreed dates, i.e. evidence submitted late may be treated as a “cancellation”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where time set aside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for the review of such evidence cannot be reallocated.</w:t>
      </w:r>
    </w:p>
    <w:p w14:paraId="2D72716A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Invoicing</w:t>
      </w:r>
    </w:p>
    <w:p w14:paraId="18CF3940" w14:textId="0036561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Invoices are raised in sterling and are due and payable in full, are raised in electronic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format and sent via email, and may be raised in stages, for example for lengthy projects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or in relation to overseas work where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incurs substantial travel costs in advance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of the visit.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Value Added Tax will be applied according to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rules. Any non-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taxes and all other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transaction charges relating to the payment remain the responsibility of the customer.</w:t>
      </w:r>
    </w:p>
    <w:p w14:paraId="60D4154E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Payment Terms</w:t>
      </w:r>
    </w:p>
    <w:p w14:paraId="6B484DE4" w14:textId="4ED191C1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For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customers, our standard payment terms are 30 days from the date of the invoice,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except where indicated that payment is required before any work is undertaken. We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reserve the right to withdraw credit, (for example in cases of poor credit or payment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history) in which case payment is required in advance of any work being undertaken.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For non-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customers,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’ standard business terms are for payment before any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work is undertaken.</w:t>
      </w:r>
    </w:p>
    <w:p w14:paraId="5F3CAB6A" w14:textId="3CB08F2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For customers who are required to pay in advance of any work undertaken, invoices will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 issued as soon as work is scheduled and no more than four months in advance of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day that work is to be undertaken.</w:t>
      </w:r>
    </w:p>
    <w:p w14:paraId="3C4338D9" w14:textId="1F975F4B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Fees up to and including initial assessment and any associated supplementary or close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out work must be paid in full before accreditation is granted.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We are committed to resolving any invoice queries as soon as possible. Any query over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 invoice must be raised in writing to the invoicingteam@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.com within 30 days of</w:t>
      </w:r>
      <w:r w:rsidR="00286E92">
        <w:rPr>
          <w:rFonts w:ascii="Times New Roman" w:hAnsi="Times New Roman" w:cs="Times New Roman"/>
          <w:sz w:val="24"/>
          <w:szCs w:val="24"/>
        </w:rPr>
        <w:t xml:space="preserve"> t</w:t>
      </w:r>
      <w:r w:rsidRPr="006B0BFA">
        <w:rPr>
          <w:rFonts w:ascii="Times New Roman" w:hAnsi="Times New Roman" w:cs="Times New Roman"/>
          <w:sz w:val="24"/>
          <w:szCs w:val="24"/>
        </w:rPr>
        <w:t>he date of the fee note. If no query is raised within this period the fee will be due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payable without any right of further explanation, amendment or dispute.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We have a statutory right under the Late Payment of Commercial Debts Regulations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2013 to add interest and late payment at an annual rate of 8% plus the Bank of England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base </w:t>
      </w:r>
      <w:r w:rsidRPr="006B0BFA">
        <w:rPr>
          <w:rFonts w:ascii="Times New Roman" w:hAnsi="Times New Roman" w:cs="Times New Roman"/>
          <w:sz w:val="24"/>
          <w:szCs w:val="24"/>
        </w:rPr>
        <w:lastRenderedPageBreak/>
        <w:t>rate, calculated from the date of presentation of the invoice and to include charges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for any costs of recovery, which will be added to and payable with any invoices amounts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due. We also reserve the right to stop work and suspend or withdraw accreditation on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financial grounds if payment of any fees billed is unduly delayed.</w:t>
      </w:r>
    </w:p>
    <w:p w14:paraId="07E9E30C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Payment Methods</w:t>
      </w:r>
    </w:p>
    <w:p w14:paraId="568DE106" w14:textId="71128AE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We accept electronic payment via bank transfers and or credit card payments by phone.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You can make a payment by phone by calling Finance on 01784 429003.</w:t>
      </w:r>
    </w:p>
    <w:p w14:paraId="1BFE9692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Call Recording</w:t>
      </w:r>
    </w:p>
    <w:p w14:paraId="5F9769D7" w14:textId="3FDF59F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Your calls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 calls from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to you may be recorded for training and quality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purposes.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may also use recorded calls for the purpose of handling complaint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procedures or customer disputes.</w:t>
      </w:r>
    </w:p>
    <w:p w14:paraId="4EC443AF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Applicable Law</w:t>
      </w:r>
    </w:p>
    <w:p w14:paraId="4F9E685A" w14:textId="1920A6A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Unless otherwise stated, our engagements are governed by, and construed in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accordance with, English law. The Courts of England will have exclusive jurisdiction in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relation to any claim, dispute or difference concerning our engagements. Each party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irrevocably waives any right it may have to object to any action being brought in those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courts, to claim that the action has been brought in an inappropriate forum, or claim that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those courts do not have jurisdiction.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If any provision in this Standard Terms of Business or any associated engagement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letter, or its application, are found to be invalid, illegal or otherwise unenforceable in any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respect, the validity, legality or enforceability of any other provisions shall not in any way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 affected or impaired.</w:t>
      </w:r>
    </w:p>
    <w:p w14:paraId="0B16346B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Complaints Procedure</w:t>
      </w:r>
    </w:p>
    <w:p w14:paraId="1C30011D" w14:textId="6FB4A1B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In the event that a customer wishes to complain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, any investigation undertaken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will be in accordance with the Customer Feedback process, details of which are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available on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website.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right of a customer to appeal against an accreditation decision is contained in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Section 10 of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Agreement and the process governing appeals is set out in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Appeals Procedure, a copy of which can be found on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website. An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appeal will need to be submitted in writing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’ Business Development Director (or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nominated person) within one month of the date of the decision. Notwithstanding a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customer’s right to appeal an accreditation decision, a customer retains the obligatio</w:t>
      </w:r>
      <w:r w:rsidR="00286E92">
        <w:rPr>
          <w:rFonts w:ascii="Times New Roman" w:hAnsi="Times New Roman" w:cs="Times New Roman"/>
          <w:sz w:val="24"/>
          <w:szCs w:val="24"/>
        </w:rPr>
        <w:t xml:space="preserve">n </w:t>
      </w:r>
      <w:r w:rsidRPr="006B0BFA">
        <w:rPr>
          <w:rFonts w:ascii="Times New Roman" w:hAnsi="Times New Roman" w:cs="Times New Roman"/>
          <w:sz w:val="24"/>
          <w:szCs w:val="24"/>
        </w:rPr>
        <w:t xml:space="preserve">to pay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for any work done in accordance with the payment terms as set out in this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document.</w:t>
      </w:r>
    </w:p>
    <w:p w14:paraId="78A778AB" w14:textId="27646C2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Rules for the Use of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’ Accreditation Symbols</w:t>
      </w:r>
    </w:p>
    <w:p w14:paraId="131565EB" w14:textId="2CBA593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has protected its accreditation symbols by registering them as Trade Marks in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accordance with the Trade Marks Act 1994. The following accreditation symbols are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currently registered as Trade Marks:</w:t>
      </w:r>
    </w:p>
    <w:p w14:paraId="36F3A417" w14:textId="5FF2BC4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Personnel Certification</w:t>
      </w:r>
    </w:p>
    <w:p w14:paraId="3BEAD747" w14:textId="33F50CBF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Product Certification</w:t>
      </w:r>
    </w:p>
    <w:p w14:paraId="3B519F3A" w14:textId="46C70D20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Proficiency Testing Provider</w:t>
      </w:r>
    </w:p>
    <w:p w14:paraId="45564525" w14:textId="4AFE74D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19A76473" w14:textId="000E51A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Calibration</w:t>
      </w:r>
    </w:p>
    <w:p w14:paraId="45C5589C" w14:textId="0F6469C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Inspection</w:t>
      </w:r>
    </w:p>
    <w:p w14:paraId="3EE5216D" w14:textId="5588725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Reference Materials Producer</w:t>
      </w:r>
    </w:p>
    <w:p w14:paraId="77403ABF" w14:textId="2B46B21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Medical</w:t>
      </w:r>
    </w:p>
    <w:p w14:paraId="761A9DA8" w14:textId="7481C54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Management Systems</w:t>
      </w:r>
    </w:p>
    <w:p w14:paraId="761F2200" w14:textId="2FAA8FF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Verification</w:t>
      </w:r>
    </w:p>
    <w:p w14:paraId="35EC05A2" w14:textId="7E8445C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Persons and Bodies Authorised to Use the Accreditation Symbols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The licence to use one or more of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accreditation symbols will be granted by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without discrimination to those conformity assessment bodies who are accredited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to one or more of the accreditation standards, on condition that they continue to meet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requirements of these standard(s), the regulations governing the use of the symbols,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and fulfil the terms of their Agreement with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.</w:t>
      </w:r>
    </w:p>
    <w:p w14:paraId="27EAD9C5" w14:textId="278300D8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A current list of those conformity assessment bodies accredited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authorised to use the accreditation symbols is available on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website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www.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.com</w:t>
      </w:r>
    </w:p>
    <w:p w14:paraId="01AF1FCF" w14:textId="545A08E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Conditions for the Use of the National Accreditation Logo and Symbols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holds the right to the logo and symbols under licence from the Department for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Business, Energy and Industrial Strategy (BEIS). BEIS obliges all users of the logo and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symbols to comply with “The National Accreditation logo and symbols: Conditions for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use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Accredited Organisations”, a current copy of which is available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via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website at www.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.com under “Services/Publications”. Users of th</w:t>
      </w:r>
      <w:r w:rsidR="00286E92">
        <w:rPr>
          <w:rFonts w:ascii="Times New Roman" w:hAnsi="Times New Roman" w:cs="Times New Roman"/>
          <w:sz w:val="24"/>
          <w:szCs w:val="24"/>
        </w:rPr>
        <w:t xml:space="preserve">e </w:t>
      </w:r>
      <w:r w:rsidRPr="006B0BFA">
        <w:rPr>
          <w:rFonts w:ascii="Times New Roman" w:hAnsi="Times New Roman" w:cs="Times New Roman"/>
          <w:sz w:val="24"/>
          <w:szCs w:val="24"/>
        </w:rPr>
        <w:t>symbols must comply with the current conditions set out in this document.</w:t>
      </w:r>
    </w:p>
    <w:p w14:paraId="3663F083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Pictorial Representation of the Symbols</w:t>
      </w:r>
    </w:p>
    <w:p w14:paraId="24C29B69" w14:textId="2536350A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These are available within The National Accreditation logo and symbols: Conditions for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use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Accredited Organisations as referenced above.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can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provide the appropriate symbol in electronic format to customers who hold </w:t>
      </w:r>
      <w:r>
        <w:rPr>
          <w:rFonts w:ascii="Times New Roman" w:hAnsi="Times New Roman" w:cs="Times New Roman"/>
          <w:sz w:val="24"/>
          <w:szCs w:val="24"/>
        </w:rPr>
        <w:t>SSC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accreditation relevant to that symbol (contact </w:t>
      </w:r>
      <w:hyperlink r:id="rId4" w:history="1">
        <w:r w:rsidR="00286E92" w:rsidRPr="0029773C">
          <w:rPr>
            <w:rStyle w:val="Hyperlink"/>
            <w:rFonts w:ascii="Times New Roman" w:hAnsi="Times New Roman" w:cs="Times New Roman"/>
            <w:sz w:val="24"/>
            <w:szCs w:val="24"/>
          </w:rPr>
          <w:t>info@</w:t>
        </w:r>
        <w:r w:rsidR="00286E92" w:rsidRPr="0029773C">
          <w:rPr>
            <w:rStyle w:val="Hyperlink"/>
            <w:rFonts w:ascii="Times New Roman" w:hAnsi="Times New Roman" w:cs="Times New Roman"/>
            <w:sz w:val="24"/>
            <w:szCs w:val="24"/>
          </w:rPr>
          <w:t>SSC</w:t>
        </w:r>
        <w:r w:rsidR="00286E92" w:rsidRPr="0029773C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  <w:r w:rsidRPr="006B0BFA">
        <w:rPr>
          <w:rFonts w:ascii="Times New Roman" w:hAnsi="Times New Roman" w:cs="Times New Roman"/>
          <w:sz w:val="24"/>
          <w:szCs w:val="24"/>
        </w:rPr>
        <w:t>)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For guidance on colouring, size and permitted usages see the “Conditions for use”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publication.</w:t>
      </w:r>
    </w:p>
    <w:p w14:paraId="1713D204" w14:textId="2AF73AD1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Price List1</w:t>
      </w:r>
    </w:p>
    <w:p w14:paraId="6E6CB366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from 1 April 2020</w:t>
      </w:r>
    </w:p>
    <w:p w14:paraId="75FBC9E2" w14:textId="77777777" w:rsidR="00286E92" w:rsidRDefault="00286E92" w:rsidP="006B0B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3AA01" w14:textId="6561DA2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DATA PROTECTION &amp; SECURITY SCHEDULE</w:t>
      </w:r>
    </w:p>
    <w:p w14:paraId="632DD5E8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 Definitions</w:t>
      </w:r>
    </w:p>
    <w:p w14:paraId="304534F3" w14:textId="6D82152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In this schedule to the Standard Terms of Business, the following definitions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shall apply:</w:t>
      </w:r>
    </w:p>
    <w:p w14:paraId="6A0D0BF1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1.1 Agreement means these Standard Terms of Business;</w:t>
      </w:r>
    </w:p>
    <w:p w14:paraId="506AA7F2" w14:textId="50A50FF8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1.2 Data Controller, Data Subject, Personal Data, Process, Processes,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Processing shall have the meanings given to them in the Data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Protection Legislation;</w:t>
      </w:r>
    </w:p>
    <w:p w14:paraId="3A5FBEC8" w14:textId="6EB1C2C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lastRenderedPageBreak/>
        <w:t xml:space="preserve">1.3 Customer Personal Data means any personal data provided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by a customer or prospective customer, or on a customer’s behalf, for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purpose of providing our services to you pursuant to this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Agreement;</w:t>
      </w:r>
    </w:p>
    <w:p w14:paraId="72348D1E" w14:textId="627DF19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1.4 Data Protection Legislation means all data protection and privacy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legislation, regulations and guidance applicable in respect of a party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from time to time including, without limitation as applicable, Regulation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(EU) 2016/679 (the "General Data Protection Regulation" or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"GDPR") and Data Protection Act 2018 (or, in the event that the </w:t>
      </w:r>
      <w:r w:rsidR="00286E92">
        <w:rPr>
          <w:rFonts w:ascii="Times New Roman" w:hAnsi="Times New Roman" w:cs="Times New Roman"/>
          <w:sz w:val="24"/>
          <w:szCs w:val="24"/>
        </w:rPr>
        <w:t xml:space="preserve">India </w:t>
      </w:r>
      <w:r w:rsidRPr="006B0BFA">
        <w:rPr>
          <w:rFonts w:ascii="Times New Roman" w:hAnsi="Times New Roman" w:cs="Times New Roman"/>
          <w:sz w:val="24"/>
          <w:szCs w:val="24"/>
        </w:rPr>
        <w:t xml:space="preserve">leaves the </w:t>
      </w:r>
      <w:r w:rsidR="00E93CEF">
        <w:rPr>
          <w:rFonts w:ascii="Times New Roman" w:hAnsi="Times New Roman" w:cs="Times New Roman"/>
          <w:sz w:val="24"/>
          <w:szCs w:val="24"/>
        </w:rPr>
        <w:t>Indian</w:t>
      </w:r>
      <w:r w:rsidRPr="006B0BFA">
        <w:rPr>
          <w:rFonts w:ascii="Times New Roman" w:hAnsi="Times New Roman" w:cs="Times New Roman"/>
          <w:sz w:val="24"/>
          <w:szCs w:val="24"/>
        </w:rPr>
        <w:t xml:space="preserve"> Union, all legislation enacted in the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in respect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of the protection of personal data) and the Privacy and Electronic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Communications (EC Directive) Regulations 2003; and any applicable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guidance or codes of practice issued by Working Party 29,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="00E93CEF">
        <w:rPr>
          <w:rFonts w:ascii="Times New Roman" w:hAnsi="Times New Roman" w:cs="Times New Roman"/>
          <w:sz w:val="24"/>
          <w:szCs w:val="24"/>
        </w:rPr>
        <w:t>Indian</w:t>
      </w:r>
      <w:r w:rsidRPr="006B0BFA">
        <w:rPr>
          <w:rFonts w:ascii="Times New Roman" w:hAnsi="Times New Roman" w:cs="Times New Roman"/>
          <w:sz w:val="24"/>
          <w:szCs w:val="24"/>
        </w:rPr>
        <w:t xml:space="preserve"> Data Protection Board or the Data Protection Regulator from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time to time (all as amended, updated or re-enacted from time to time);</w:t>
      </w:r>
    </w:p>
    <w:p w14:paraId="01C8E203" w14:textId="4A4EFD9E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1.5 Data Protection Regulator means the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Information Commissioner’s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Office, the </w:t>
      </w:r>
      <w:r w:rsidR="00E93CEF">
        <w:rPr>
          <w:rFonts w:ascii="Times New Roman" w:hAnsi="Times New Roman" w:cs="Times New Roman"/>
          <w:sz w:val="24"/>
          <w:szCs w:val="24"/>
        </w:rPr>
        <w:t>Indian</w:t>
      </w:r>
      <w:r w:rsidRPr="006B0BFA">
        <w:rPr>
          <w:rFonts w:ascii="Times New Roman" w:hAnsi="Times New Roman" w:cs="Times New Roman"/>
          <w:sz w:val="24"/>
          <w:szCs w:val="24"/>
        </w:rPr>
        <w:t xml:space="preserve"> Data Protection Board or any successor body to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either regulator from time to time and any other regulator or supervisory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authority with jurisdiction over either party;</w:t>
      </w:r>
    </w:p>
    <w:p w14:paraId="37EF9788" w14:textId="13AD8F3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1.6 Discloser means the party disclosing Customer Personal Data to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Recipient;</w:t>
      </w:r>
    </w:p>
    <w:p w14:paraId="5772AF60" w14:textId="4B76747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1.7 Privacy Notice means the notice containing the information required to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 provided to a Data Subject by the Data Protection Legislation;</w:t>
      </w:r>
    </w:p>
    <w:p w14:paraId="12EE458F" w14:textId="2AC1A65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1.8 Purpose(s) means the purposes for which Customer Personal Data is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Processed under or in connection with this Agreement, as further set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out in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' Privacy Notice;</w:t>
      </w:r>
    </w:p>
    <w:p w14:paraId="48D8AC7C" w14:textId="1B0D97B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1.9 Recipient means the party receiving Customer Personal Data from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Discloser;</w:t>
      </w:r>
    </w:p>
    <w:p w14:paraId="1D1CF73C" w14:textId="4B90DDF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1.10 Schedule means this Data Protection &amp; Security Schedule which forms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part of the Agreement;</w:t>
      </w:r>
    </w:p>
    <w:p w14:paraId="7EDAA7BF" w14:textId="3AACAA5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1.11 Security Breach means an actual, suspected or threatened event that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affects the confidentiality, integrity, availability and/or resilience of the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customer personal data, the systems on which it is processed, and/or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services through which it is accessed, including (without limitation) a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'personal data breach' as defined in data protection legislation;</w:t>
      </w:r>
    </w:p>
    <w:p w14:paraId="537D38F7" w14:textId="5D0C317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1.12 Special Categories of Personal Data means personal data revealing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racial or ethnic origin, political opinions, sex life or sexual orientation,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religious or philosophical beliefs and trade-union membership. It also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includes processing of genetic and biometric data used to uniquely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identify a natural person and data concerning health;</w:t>
      </w:r>
    </w:p>
    <w:p w14:paraId="2963C2F9" w14:textId="037503B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1.13 Third Party Recipients means the third parties as set out in clause 3.3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of this Schedule and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' Privacy Notice which can be found here;</w:t>
      </w:r>
    </w:p>
    <w:p w14:paraId="502C5F86" w14:textId="278B53B1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1.14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or We or Us means the </w:t>
      </w:r>
      <w:r w:rsidR="00F42D0A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Accreditation Service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Ltd;</w:t>
      </w:r>
    </w:p>
    <w:p w14:paraId="51598380" w14:textId="32BBEE5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1.15 You or your means customers or prospective customers of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.</w:t>
      </w:r>
    </w:p>
    <w:p w14:paraId="7216ADF3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 Data Protection</w:t>
      </w:r>
    </w:p>
    <w:p w14:paraId="28F347C9" w14:textId="21C1C5B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2.1 For the purposes of this Agreement, both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 You are a data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controller. You will be the Discloser and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be the Recipient of</w:t>
      </w:r>
      <w:r w:rsidR="00286E92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Customer Personal Data.</w:t>
      </w:r>
    </w:p>
    <w:p w14:paraId="14EB0D66" w14:textId="1AE4F3C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lastRenderedPageBreak/>
        <w:t>2.2 Each party shall Process the Customer Personal Data in accordance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with the Data Protection Legislation.</w:t>
      </w:r>
    </w:p>
    <w:p w14:paraId="476EEAD3" w14:textId="5AEC698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2.3 In relation to the Customer Personal Data, the Discloser shall ensure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that:</w:t>
      </w:r>
    </w:p>
    <w:p w14:paraId="2D5B9971" w14:textId="18F134B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2.3.1 the Customer Personal Data has been obtained by it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transferred to the Recipient, in accordance with the Data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Protection Legislation;</w:t>
      </w:r>
    </w:p>
    <w:p w14:paraId="2E1A4311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2.4 in particular:</w:t>
      </w:r>
    </w:p>
    <w:p w14:paraId="408BB3CD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2.4.1 the Customer Personal Data is accurate and up to date;</w:t>
      </w:r>
    </w:p>
    <w:p w14:paraId="293483BD" w14:textId="0C9236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2.4.2 it has provided Data Subjects with a Privacy Notice on its own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behalf and on behalf of the Recipient that allows the Recipient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to Process the Customer Personal Data for the Purposes; and</w:t>
      </w:r>
    </w:p>
    <w:p w14:paraId="5EAEC093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2.4.3 to the extent that consent of the Data Subjects is required:</w:t>
      </w:r>
    </w:p>
    <w:p w14:paraId="43276AA3" w14:textId="1819BF6E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(a) it has obtained the consent of the Data Subjects to: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="00286E92">
        <w:rPr>
          <w:rFonts w:ascii="Times New Roman" w:hAnsi="Times New Roman" w:cs="Times New Roman"/>
          <w:sz w:val="24"/>
          <w:szCs w:val="24"/>
        </w:rPr>
        <w:t>India</w:t>
      </w:r>
      <w:r w:rsidRPr="006B0BFA">
        <w:rPr>
          <w:rFonts w:ascii="Times New Roman" w:hAnsi="Times New Roman" w:cs="Times New Roman"/>
          <w:sz w:val="24"/>
          <w:szCs w:val="24"/>
        </w:rPr>
        <w:t xml:space="preserve"> ACCREDITATION SERVICE</w:t>
      </w:r>
    </w:p>
    <w:p w14:paraId="41AB7A34" w14:textId="38DA6523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(i) its transfer of the Customer Personal Data to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Recipient; and</w:t>
      </w:r>
    </w:p>
    <w:p w14:paraId="2F53A584" w14:textId="5932B692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(ii) the Processing of the Customer Personal Data for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Purposes by the Recipient; and</w:t>
      </w:r>
    </w:p>
    <w:p w14:paraId="7D667FFA" w14:textId="42F3B30E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(iii) it will immediately notify the Recipient in the event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that a Data Subject withdraws or amends this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consent.</w:t>
      </w:r>
    </w:p>
    <w:p w14:paraId="5A94BD95" w14:textId="5A846D0A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2.5 Neither party shall Process Customer Personal Data for any purposes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other than the Purposes.</w:t>
      </w:r>
    </w:p>
    <w:p w14:paraId="1739EA14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 Security</w:t>
      </w:r>
    </w:p>
    <w:p w14:paraId="0A32BDBF" w14:textId="23808D1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3.1 Without prejudice to clause 2.1 of this Schedule, the Discloser shall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transfer Customer Personal Data using appropriate technical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organisational security measures including, but not limited to, using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password protection when e-mailing Special Categories of Personal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Data.</w:t>
      </w:r>
    </w:p>
    <w:p w14:paraId="57A5EDDA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 Without prejudice to clause 2.1 of this Schedule, the Recipient shall:</w:t>
      </w:r>
    </w:p>
    <w:p w14:paraId="20E9C639" w14:textId="35830C80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3.2.1 implement and maintain appropriate technical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organisational measures to preserve the confidentiality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integrity of the Customer Personal Data and prevent any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unlawful Processing or disclosure or damage, taking into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account the state of the art, the costs of implementation,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nature, scope, context and purposes of Processing as well as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risk of varying likelihood and severity for the rights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freedoms of the Data Subjects.</w:t>
      </w:r>
    </w:p>
    <w:p w14:paraId="56778C76" w14:textId="0B7BEABA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3.2.2 ensure that employees who have access to Customer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Personal Data have undergone training in the Data Protection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Legislation and in the care and handling of Customer Personal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Data;</w:t>
      </w:r>
    </w:p>
    <w:p w14:paraId="0F7F85C0" w14:textId="2458AADD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3.2.3 not disclose any Customer Personal Data to any third party in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any circumstances except as required or permitted by this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agreement or Data Protection Legislation;</w:t>
      </w:r>
    </w:p>
    <w:p w14:paraId="426112FE" w14:textId="18443568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3.2.4 notify the Discloser promptly of any known breach of technical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and organisational security measures where the breach has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affected or could have affected the Customer Personal Data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("Security Breach");</w:t>
      </w:r>
    </w:p>
    <w:p w14:paraId="5EFC150B" w14:textId="42215DB1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lastRenderedPageBreak/>
        <w:t>3.2.5 notify the Discloser promptly if it receives any request or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enquiry from a Data Protection Regulator or Data Subject with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regard to the Customer Personal Data;</w:t>
      </w:r>
    </w:p>
    <w:p w14:paraId="34518BE3" w14:textId="24F33235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3.2.6 take reasonable steps to ensure the reliability of any of its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employees, agents and contractors who have access to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Customer Personal Data; </w:t>
      </w:r>
    </w:p>
    <w:p w14:paraId="56DE33D6" w14:textId="2DE2D69E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3.2.7 ensure that only those of its employees, agents and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contractors who need to have access to the Customer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Personal Data are granted such access to the Customer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Personal Data and only for the Purposes; and</w:t>
      </w:r>
    </w:p>
    <w:p w14:paraId="71769B2E" w14:textId="089D537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3.2.8 ensure that the employees, agents and contractors who, in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accordance with clause 3.2.7, have access to the Customer</w:t>
      </w:r>
    </w:p>
    <w:p w14:paraId="6E2C1E7B" w14:textId="77777777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Personal Data:</w:t>
      </w:r>
    </w:p>
    <w:p w14:paraId="067EBEF2" w14:textId="2276FFF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(a) are informed of the confidential nature of the Customer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Personal Data and are subject to appropriate contractual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obligations of confidentiality;</w:t>
      </w:r>
    </w:p>
    <w:p w14:paraId="2D2244F8" w14:textId="03A9E6D9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(b) undergo training in Data Protection Legislation and in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care and handling of Personal Data; and</w:t>
      </w:r>
    </w:p>
    <w:p w14:paraId="6591822F" w14:textId="77777777" w:rsidR="00E93CEF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(c) comply with the obligations set out in this Schedule.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9EA8" w14:textId="6EFCE64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3.3 In order to provide our services,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may disclose the Customer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Personal Data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group companies, regulatory bodies or othe</w:t>
      </w:r>
      <w:r w:rsidR="00E93CEF">
        <w:rPr>
          <w:rFonts w:ascii="Times New Roman" w:hAnsi="Times New Roman" w:cs="Times New Roman"/>
          <w:sz w:val="24"/>
          <w:szCs w:val="24"/>
        </w:rPr>
        <w:t xml:space="preserve">r </w:t>
      </w:r>
      <w:r w:rsidRPr="006B0BFA">
        <w:rPr>
          <w:rFonts w:ascii="Times New Roman" w:hAnsi="Times New Roman" w:cs="Times New Roman"/>
          <w:sz w:val="24"/>
          <w:szCs w:val="24"/>
        </w:rPr>
        <w:t>third parties including but not limited to, Accreditation Scheme owners,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our Financial Auditors, our Peer Evaluators and other third parties as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set out in our Privacy Notice ("Third Party Recipients").</w:t>
      </w:r>
    </w:p>
    <w:p w14:paraId="0D7DD65B" w14:textId="3849FC6C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3.4 In the event Third Party Recipients are located outside of the </w:t>
      </w:r>
      <w:r w:rsidR="00E93CEF">
        <w:rPr>
          <w:rFonts w:ascii="Times New Roman" w:hAnsi="Times New Roman" w:cs="Times New Roman"/>
          <w:sz w:val="24"/>
          <w:szCs w:val="24"/>
        </w:rPr>
        <w:t xml:space="preserve">Indian </w:t>
      </w:r>
      <w:r w:rsidRPr="006B0BFA">
        <w:rPr>
          <w:rFonts w:ascii="Times New Roman" w:hAnsi="Times New Roman" w:cs="Times New Roman"/>
          <w:sz w:val="24"/>
          <w:szCs w:val="24"/>
        </w:rPr>
        <w:t xml:space="preserve">Economic Area,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will take further actions to ensure that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transfer is subject to adequate safeguarding measures and in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compliance the Data Protection Legislation.</w:t>
      </w:r>
    </w:p>
    <w:p w14:paraId="506A4DED" w14:textId="296F6024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3.5 Parties shall cooperate with each other and take such reasonable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commercial steps or provide such information as is necessary to enable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the other party to comply with the Data Protection Legislation in relation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to the Customer Personal Data.</w:t>
      </w:r>
    </w:p>
    <w:p w14:paraId="3AC35F28" w14:textId="04745BCB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3.6 A breach of this Schedule shall be deemed a material breach of this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agreement.</w:t>
      </w:r>
    </w:p>
    <w:p w14:paraId="19E07E5A" w14:textId="4DABB76B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3.7 At all times during the terms of the Agreement, You shall indemnify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and keep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indemnified against all losses, damages, costs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or expenses and other liabilities (including legal fees) incurred by,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awarded against or agreed to be paid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 xml:space="preserve"> arising from any breach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of the obligations You have under this Schedule except and to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 xml:space="preserve">extent that such liabilities have resulted directly from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B0BFA">
        <w:rPr>
          <w:rFonts w:ascii="Times New Roman" w:hAnsi="Times New Roman" w:cs="Times New Roman"/>
          <w:sz w:val="24"/>
          <w:szCs w:val="24"/>
        </w:rPr>
        <w:t>'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instructions.</w:t>
      </w:r>
    </w:p>
    <w:p w14:paraId="1528B0D5" w14:textId="36089F76" w:rsidR="006B0BFA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Should you require any further details regarding this Schedule or our Privacy Notice,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please contact our Privacy and Data Compliance Officer via the</w:t>
      </w:r>
      <w:r w:rsidR="00E93CEF">
        <w:rPr>
          <w:rFonts w:ascii="Times New Roman" w:hAnsi="Times New Roman" w:cs="Times New Roman"/>
          <w:sz w:val="24"/>
          <w:szCs w:val="24"/>
        </w:rPr>
        <w:t xml:space="preserve"> </w:t>
      </w:r>
      <w:r w:rsidRPr="006B0BFA">
        <w:rPr>
          <w:rFonts w:ascii="Times New Roman" w:hAnsi="Times New Roman" w:cs="Times New Roman"/>
          <w:sz w:val="24"/>
          <w:szCs w:val="24"/>
        </w:rPr>
        <w:t>following contact details:</w:t>
      </w:r>
    </w:p>
    <w:p w14:paraId="1488FFFB" w14:textId="77777777" w:rsidR="00E93CEF" w:rsidRDefault="006B0BFA" w:rsidP="00E93CEF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Post: </w:t>
      </w:r>
      <w:r w:rsidR="00E93CEF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14:paraId="1A7FF229" w14:textId="23EDA3F2" w:rsidR="00E93CEF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>E-mail:</w:t>
      </w:r>
      <w:r w:rsidR="00E93CEF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BF4F8F9" w14:textId="3EBB646E" w:rsidR="00ED73C6" w:rsidRPr="006B0BFA" w:rsidRDefault="006B0BFA" w:rsidP="006B0BFA">
      <w:pPr>
        <w:jc w:val="both"/>
        <w:rPr>
          <w:rFonts w:ascii="Times New Roman" w:hAnsi="Times New Roman" w:cs="Times New Roman"/>
          <w:sz w:val="24"/>
          <w:szCs w:val="24"/>
        </w:rPr>
      </w:pPr>
      <w:r w:rsidRPr="006B0BFA">
        <w:rPr>
          <w:rFonts w:ascii="Times New Roman" w:hAnsi="Times New Roman" w:cs="Times New Roman"/>
          <w:sz w:val="24"/>
          <w:szCs w:val="24"/>
        </w:rPr>
        <w:t xml:space="preserve">Telephone: </w:t>
      </w:r>
      <w:r w:rsidR="00E93CEF"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ED73C6" w:rsidRPr="006B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D9"/>
    <w:rsid w:val="00286E92"/>
    <w:rsid w:val="006B0BFA"/>
    <w:rsid w:val="00E93CEF"/>
    <w:rsid w:val="00ED73C6"/>
    <w:rsid w:val="00F42D0A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51CA"/>
  <w15:chartTrackingRefBased/>
  <w15:docId w15:val="{507C6C7B-4EE6-4CF2-AF5B-731398AC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3262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2020-07-04T10:52:00Z</dcterms:created>
  <dcterms:modified xsi:type="dcterms:W3CDTF">2020-07-04T11:17:00Z</dcterms:modified>
</cp:coreProperties>
</file>