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9h31svxhp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Briefing: Satellite Imagery Segmentation Pipeline for Slum Detection(FPN-VGG)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nsr4fddwr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comprehensive technical overview of a deep learning pipeline designed to detect slum areas through satellite imagery segmentation. Utilizing a Feature Pyramid Network (FPN) with a VGG16 backbone, the model was trained over 30 epochs, ultimately achieving a peak validation F1 score of 0.9482. The methodology incorporates a hybrid loss function (Binary Cross Entropy and Dice Loss) and aggressive data augmentation techniques based on established research. Key performance indicators show a steady improvement in model accuracy, supported by a robust data pipeline that leverages local SSD synchronization and specialized preprocessing for multi-channel GeoTIFF images.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https://www.arcgis.com/home/item.html?id=e95daeb4085d4afb8ca81d0a1b11dce2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paper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https://pdfs.semanticscholar.org/bc49/24f2e32d684372bf7aa10548205b77507a6c.pdf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Structure of dataset images: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400 pixels (Width) x 400 pixels (Height)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Bands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Reference System (CRS):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EPSG:32643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6karhnkf7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Architecture and Training Methodology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employs a sophisticated deep learning architecture tailored for semantic segmentation of satellite imagery.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Architecture:</w:t>
      </w:r>
      <w:r w:rsidDel="00000000" w:rsidR="00000000" w:rsidRPr="00000000">
        <w:rPr>
          <w:rtl w:val="0"/>
        </w:rPr>
        <w:t xml:space="preserve"> The model is a </w:t>
      </w:r>
      <w:r w:rsidDel="00000000" w:rsidR="00000000" w:rsidRPr="00000000">
        <w:rPr>
          <w:b w:val="1"/>
          <w:bCs w:val="1"/>
          <w:rtl w:val="0"/>
        </w:rPr>
        <w:t xml:space="preserve">Feature Pyramid Network (FPN)</w:t>
      </w:r>
      <w:r w:rsidDel="00000000" w:rsidR="00000000" w:rsidRPr="00000000">
        <w:rPr>
          <w:rtl w:val="0"/>
        </w:rPr>
        <w:t xml:space="preserve"> utilizing a </w:t>
      </w:r>
      <w:r w:rsidDel="00000000" w:rsidR="00000000" w:rsidRPr="00000000">
        <w:rPr>
          <w:b w:val="1"/>
          <w:bCs w:val="1"/>
          <w:rtl w:val="0"/>
        </w:rPr>
        <w:t xml:space="preserve">VGG16 encoder</w:t>
      </w:r>
      <w:r w:rsidDel="00000000" w:rsidR="00000000" w:rsidRPr="00000000">
        <w:rPr>
          <w:rtl w:val="0"/>
        </w:rPr>
        <w:t xml:space="preserve"> pre-trained on ImageNet. The configuration uses three input channels (RGB) and a single-class output with a sigmoid activation function to produce a probability mask.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 Function:</w:t>
      </w:r>
      <w:r w:rsidDel="00000000" w:rsidR="00000000" w:rsidRPr="00000000">
        <w:rPr>
          <w:rtl w:val="0"/>
        </w:rPr>
        <w:t xml:space="preserve"> To optimize segmentation performance, the pipeline utilizes the </w:t>
      </w:r>
      <w:r w:rsidDel="00000000" w:rsidR="00000000" w:rsidRPr="00000000">
        <w:rPr>
          <w:b w:val="1"/>
          <w:bCs w:val="1"/>
          <w:rtl w:val="0"/>
        </w:rPr>
        <w:t xml:space="preserve">Ardhitasari Hybrid Loss</w:t>
      </w:r>
      <w:r w:rsidDel="00000000" w:rsidR="00000000" w:rsidRPr="00000000">
        <w:rPr>
          <w:rtl w:val="0"/>
        </w:rPr>
        <w:t xml:space="preserve">. This custom module combines: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Binary Cross Entropy (BCE):</w:t>
      </w:r>
      <w:r w:rsidDel="00000000" w:rsidR="00000000" w:rsidRPr="00000000">
        <w:rPr>
          <w:rtl w:val="0"/>
        </w:rPr>
        <w:t xml:space="preserve"> For pixel-wise classification.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Dice Loss:</w:t>
      </w:r>
      <w:r w:rsidDel="00000000" w:rsidR="00000000" w:rsidRPr="00000000">
        <w:rPr>
          <w:rtl w:val="0"/>
        </w:rPr>
        <w:t xml:space="preserve"> To handle class imbalance and improve spatial overlap accuracy.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 and Scheduling: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Optimizer:</w:t>
      </w:r>
      <w:r w:rsidDel="00000000" w:rsidR="00000000" w:rsidRPr="00000000">
        <w:rPr>
          <w:rtl w:val="0"/>
        </w:rPr>
        <w:t xml:space="preserve"> Adam optimizer with an initial learning rate of 1 \times 10^{-4}.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Scheduler: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ReduceLROnPlateau</w:t>
      </w:r>
      <w:r w:rsidDel="00000000" w:rsidR="00000000" w:rsidRPr="00000000">
        <w:rPr>
          <w:rtl w:val="0"/>
        </w:rPr>
        <w:t xml:space="preserve"> was implemented to halve the learning rate (factor of 0.5) if the validation F1 score failed to improve for two consecutive epochs.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Gradient Accumulation:</w:t>
      </w:r>
      <w:r w:rsidDel="00000000" w:rsidR="00000000" w:rsidRPr="00000000">
        <w:rPr>
          <w:rtl w:val="0"/>
        </w:rPr>
        <w:t xml:space="preserve"> To simulate a larger batch size on constrained hardware, the pipeline used 4 accumulation steps, resulting in an effective batch size of 32 (8 images per batch \times 4 steps).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hod588lzb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Training Performance and Validation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training logs indicate a highly successful optimization process over 30 iterations.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naz5ppje1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Metrics Table</w:t>
      </w:r>
    </w:p>
    <w:tbl>
      <w:tblPr>
        <w:tblStyle w:val="Table1"/>
        <w:tblW w:w="936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1382.7272727272727"/>
        <w:gridCol w:w="2136.9421487603304"/>
        <w:gridCol w:w="2528.5537190082646"/>
        <w:gridCol w:w="3311.776859504132"/>
        <w:tblGridChange w:id="0">
          <w:tblGrid>
            <w:gridCol w:w="1382.7272727272727"/>
            <w:gridCol w:w="2136.9421487603304"/>
            <w:gridCol w:w="2528.5537190082646"/>
            <w:gridCol w:w="3311.7768595041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Train Loss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 F1 Score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0.7500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0.9262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Best Model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0.7325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0.9351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0.7234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0.9410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0.7283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0.9469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Best Model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0.7189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0.9482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 Best Model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2bmb4txzo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Observations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Convergence:</w:t>
      </w:r>
      <w:r w:rsidDel="00000000" w:rsidR="00000000" w:rsidRPr="00000000">
        <w:rPr>
          <w:rtl w:val="0"/>
        </w:rPr>
        <w:t xml:space="preserve"> The model showed rapid initial learning, surpassing an F1 score of 0.92 within the first epoch.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Stability:</w:t>
      </w:r>
      <w:r w:rsidDel="00000000" w:rsidR="00000000" w:rsidRPr="00000000">
        <w:rPr>
          <w:rtl w:val="0"/>
        </w:rPr>
        <w:t xml:space="preserve"> Despite minor fluctuations in training loss (ranging from approximately 0.7189 to 0.7500), the validation F1 score maintained a consistent upward trajectory.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Rate Adjustment:</w:t>
      </w:r>
      <w:r w:rsidDel="00000000" w:rsidR="00000000" w:rsidRPr="00000000">
        <w:rPr>
          <w:rtl w:val="0"/>
        </w:rPr>
        <w:t xml:space="preserve"> At Epoch 29, the learning rate was reduced from 0.000100 to 0.000050, contributing to the final performance peak in Epoch 30.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Accuracy:</w:t>
      </w:r>
      <w:r w:rsidDel="00000000" w:rsidR="00000000" w:rsidRPr="00000000">
        <w:rPr>
          <w:rtl w:val="0"/>
        </w:rPr>
        <w:t xml:space="preserve"> The best model was saved at Epoch 30 with a validation F1 score of </w:t>
      </w:r>
      <w:r w:rsidDel="00000000" w:rsidR="00000000" w:rsidRPr="00000000">
        <w:rPr>
          <w:b w:val="1"/>
          <w:bCs w:val="1"/>
          <w:rtl w:val="0"/>
        </w:rPr>
        <w:t xml:space="preserve">0.9482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4kri8xj5c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Engineering and Pipeline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includes a specialized data management strategy to handle the heavy computational load of satellite imagery.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817ef26wt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Synchronization and Splitting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SSD Syncing:</w:t>
      </w:r>
      <w:r w:rsidDel="00000000" w:rsidR="00000000" w:rsidRPr="00000000">
        <w:rPr>
          <w:rtl w:val="0"/>
        </w:rPr>
        <w:t xml:space="preserve"> To bypass I/O bottlenecks associated with cloud storage, the pipeline syncs imagery and labels from Google Drive to a local SSD environment before processing.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Partitioning:</w:t>
      </w:r>
      <w:r w:rsidDel="00000000" w:rsidR="00000000" w:rsidRPr="00000000">
        <w:rPr>
          <w:rtl w:val="0"/>
        </w:rPr>
        <w:t xml:space="preserve"> The dataset is divided into three distinct sets: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Training:</w:t>
      </w:r>
      <w:r w:rsidDel="00000000" w:rsidR="00000000" w:rsidRPr="00000000">
        <w:rPr>
          <w:rtl w:val="0"/>
        </w:rPr>
        <w:t xml:space="preserve"> 80%(1858 images)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10%(232 images)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10%(233 images)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9dl1ed7v1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Preprocessing and Augmentation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rasterio</w:t>
      </w:r>
      <w:r w:rsidDel="00000000" w:rsidR="00000000" w:rsidRPr="00000000">
        <w:rPr>
          <w:rtl w:val="0"/>
        </w:rPr>
        <w:t xml:space="preserve"> library to 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.tif</w:t>
      </w:r>
      <w:r w:rsidDel="00000000" w:rsidR="00000000" w:rsidRPr="00000000">
        <w:rPr>
          <w:rtl w:val="0"/>
        </w:rPr>
        <w:t xml:space="preserve"> files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albumentations</w:t>
      </w:r>
      <w:r w:rsidDel="00000000" w:rsidR="00000000" w:rsidRPr="00000000">
        <w:rPr>
          <w:rtl w:val="0"/>
        </w:rPr>
        <w:t xml:space="preserve"> for real-time data transformation.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Normalisation:</w:t>
      </w:r>
      <w:r w:rsidDel="00000000" w:rsidR="00000000" w:rsidRPr="00000000">
        <w:rPr>
          <w:rtl w:val="0"/>
        </w:rPr>
        <w:t xml:space="preserve"> Images are normalized to 8-bit (0-255) and subsequently scaled to a float range of [0.0, 1.0] for the PyTorch tensors.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Resizing:</w:t>
      </w:r>
      <w:r w:rsidDel="00000000" w:rsidR="00000000" w:rsidRPr="00000000">
        <w:rPr>
          <w:rtl w:val="0"/>
        </w:rPr>
        <w:t xml:space="preserve"> All inputs are resized to 256 \times 256 pixels to ensure compatibility with the encoder's downsampling layers.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Augmentations:</w:t>
      </w:r>
      <w:r w:rsidDel="00000000" w:rsidR="00000000" w:rsidRPr="00000000">
        <w:rPr>
          <w:rtl w:val="0"/>
        </w:rPr>
        <w:t xml:space="preserve"> Drawing from Ardhitasari (2023) research in Mumbai, the training process includes: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Horizontal and Vertical Flips.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90-degree rotations.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Shift, Scale, and Rotate transformations.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Brightness and Contrast adjustments.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3063tchwf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Inference and Visualization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inference stage is designed to apply the trained weights to new, unseen satellite tiles.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Management:</w:t>
      </w:r>
      <w:r w:rsidDel="00000000" w:rsidR="00000000" w:rsidRPr="00000000">
        <w:rPr>
          <w:rtl w:val="0"/>
        </w:rPr>
        <w:t xml:space="preserve"> While satellite imagery often contains four or more bands, the preprocessing function extracts the first three channels (RGB) to match the model’s expected input.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Thresholding Strategy:</w:t>
      </w:r>
      <w:r w:rsidDel="00000000" w:rsidR="00000000" w:rsidRPr="00000000">
        <w:rPr>
          <w:rtl w:val="0"/>
        </w:rPr>
        <w:t xml:space="preserve"> While 0.5 is the standard threshold for binary masks, the pipeline documentation suggests that lower thresholds, specifically </w:t>
      </w:r>
      <w:r w:rsidDel="00000000" w:rsidR="00000000" w:rsidRPr="00000000">
        <w:rPr>
          <w:b w:val="1"/>
          <w:bCs w:val="1"/>
          <w:rtl w:val="0"/>
        </w:rPr>
        <w:t xml:space="preserve">0.45</w:t>
      </w:r>
      <w:r w:rsidDel="00000000" w:rsidR="00000000" w:rsidRPr="00000000">
        <w:rPr>
          <w:rtl w:val="0"/>
        </w:rPr>
        <w:t xml:space="preserve">, may yield better results in identifying slum boundaries.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Extraction:</w:t>
      </w:r>
      <w:r w:rsidDel="00000000" w:rsidR="00000000" w:rsidRPr="00000000">
        <w:rPr>
          <w:rtl w:val="0"/>
        </w:rPr>
        <w:t xml:space="preserve"> The pipeline utilizes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rasterio</w:t>
      </w:r>
      <w:r w:rsidDel="00000000" w:rsidR="00000000" w:rsidRPr="00000000">
        <w:rPr>
          <w:rtl w:val="0"/>
        </w:rPr>
        <w:t xml:space="preserve"> to maintain awareness of spatial metadata, including: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 Reference Systems (CRS).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Resolution (units per pixel).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Origin and Transform data.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The pipeline generates side-by-side comparisons of the original satellite image, the ground truth label, and the model's predicted binary mask to facilitate qualitative assessment.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Testing on images from same dataset of which is used in training 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Model loaded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b w:val="1"/>
          <w:bCs w:val="1"/>
          <w:rtl w:val="0"/>
        </w:rPr>
        <w:t xml:space="preserve">Testing on images other than training dataset:structure of this images(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Image width: 600 pixels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Image height: 600 pixels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Number of bands (channels): 4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Image CRS (Coordinate Reference System): EPSG:32643)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Tiff images i downloaded from sam: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From this notebook :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https://colab.research.google.com/github/opengeos/segment-geospatial/blob/main/docs/examples/automatic_mask_generator.ipynb#scrollTo=GaUuELD07k9o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6286500" cy="5957888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95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6529388" cy="5191125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image" Target="media/image13.png"/><Relationship Id="rId42" Type="http://schemas.openxmlformats.org/officeDocument/2006/relationships/image" Target="media/image1.png"/><Relationship Id="rId41" Type="http://schemas.openxmlformats.org/officeDocument/2006/relationships/hyperlink" Target="https://colab.research.google.com/github/opengeos/segment-geospatial/blob/main/docs/examples/automatic_mask_generator.ipynb#scrollTo=GaUuELD07k9o" TargetMode="External"/><Relationship Id="rId22" Type="http://schemas.openxmlformats.org/officeDocument/2006/relationships/image" Target="media/image15.png"/><Relationship Id="rId44" Type="http://schemas.openxmlformats.org/officeDocument/2006/relationships/header" Target="header1.xml"/><Relationship Id="rId21" Type="http://schemas.openxmlformats.org/officeDocument/2006/relationships/image" Target="media/image29.png"/><Relationship Id="rId43" Type="http://schemas.openxmlformats.org/officeDocument/2006/relationships/image" Target="media/image21.png"/><Relationship Id="rId24" Type="http://schemas.openxmlformats.org/officeDocument/2006/relationships/image" Target="media/image6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7.png"/><Relationship Id="rId25" Type="http://schemas.openxmlformats.org/officeDocument/2006/relationships/image" Target="media/image2.png"/><Relationship Id="rId28" Type="http://schemas.openxmlformats.org/officeDocument/2006/relationships/image" Target="media/image8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hyperlink" Target="https://www.arcgis.com/home/item.html?id=e95daeb4085d4afb8ca81d0a1b11dce2" TargetMode="External"/><Relationship Id="rId29" Type="http://schemas.openxmlformats.org/officeDocument/2006/relationships/image" Target="media/image27.png"/><Relationship Id="rId7" Type="http://schemas.openxmlformats.org/officeDocument/2006/relationships/hyperlink" Target="https://pdfs.semanticscholar.org/bc49/24f2e32d684372bf7aa10548205b77507a6c.pdf" TargetMode="External"/><Relationship Id="rId8" Type="http://schemas.openxmlformats.org/officeDocument/2006/relationships/image" Target="media/image10.png"/><Relationship Id="rId31" Type="http://schemas.openxmlformats.org/officeDocument/2006/relationships/image" Target="media/image17.png"/><Relationship Id="rId30" Type="http://schemas.openxmlformats.org/officeDocument/2006/relationships/image" Target="media/image34.png"/><Relationship Id="rId11" Type="http://schemas.openxmlformats.org/officeDocument/2006/relationships/image" Target="media/image3.png"/><Relationship Id="rId33" Type="http://schemas.openxmlformats.org/officeDocument/2006/relationships/image" Target="media/image30.png"/><Relationship Id="rId10" Type="http://schemas.openxmlformats.org/officeDocument/2006/relationships/image" Target="media/image36.png"/><Relationship Id="rId32" Type="http://schemas.openxmlformats.org/officeDocument/2006/relationships/image" Target="media/image33.png"/><Relationship Id="rId13" Type="http://schemas.openxmlformats.org/officeDocument/2006/relationships/image" Target="media/image11.png"/><Relationship Id="rId35" Type="http://schemas.openxmlformats.org/officeDocument/2006/relationships/image" Target="media/image26.png"/><Relationship Id="rId12" Type="http://schemas.openxmlformats.org/officeDocument/2006/relationships/image" Target="media/image35.png"/><Relationship Id="rId34" Type="http://schemas.openxmlformats.org/officeDocument/2006/relationships/image" Target="media/image19.png"/><Relationship Id="rId15" Type="http://schemas.openxmlformats.org/officeDocument/2006/relationships/image" Target="media/image5.png"/><Relationship Id="rId37" Type="http://schemas.openxmlformats.org/officeDocument/2006/relationships/image" Target="media/image20.png"/><Relationship Id="rId14" Type="http://schemas.openxmlformats.org/officeDocument/2006/relationships/image" Target="media/image9.png"/><Relationship Id="rId36" Type="http://schemas.openxmlformats.org/officeDocument/2006/relationships/image" Target="media/image28.png"/><Relationship Id="rId17" Type="http://schemas.openxmlformats.org/officeDocument/2006/relationships/image" Target="media/image14.png"/><Relationship Id="rId39" Type="http://schemas.openxmlformats.org/officeDocument/2006/relationships/image" Target="media/image12.png"/><Relationship Id="rId16" Type="http://schemas.openxmlformats.org/officeDocument/2006/relationships/image" Target="media/image32.png"/><Relationship Id="rId38" Type="http://schemas.openxmlformats.org/officeDocument/2006/relationships/image" Target="media/image16.png"/><Relationship Id="rId19" Type="http://schemas.openxmlformats.org/officeDocument/2006/relationships/image" Target="media/image22.png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