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5AC0" w:rsidRPr="003C2B53" w:rsidRDefault="006C37CC" w:rsidP="00E4450E">
      <w:pPr>
        <w:spacing w:line="360" w:lineRule="auto"/>
        <w:rPr>
          <w:rFonts w:ascii="Times New Roman" w:hAnsi="Times New Roman" w:cs="Times New Roman"/>
          <w:u w:val="single"/>
        </w:rPr>
      </w:pPr>
      <w:r w:rsidRPr="003C2B53">
        <w:rPr>
          <w:rFonts w:ascii="Times New Roman" w:hAnsi="Times New Roman" w:cs="Times New Roman" w:hint="cs"/>
          <w:u w:val="single"/>
        </w:rPr>
        <w:t>Supplementary Information (SI)</w:t>
      </w:r>
    </w:p>
    <w:p w:rsidR="006C37CC" w:rsidRPr="003C2B53" w:rsidRDefault="006C37CC" w:rsidP="00E4450E">
      <w:pPr>
        <w:spacing w:line="360" w:lineRule="auto"/>
        <w:rPr>
          <w:rFonts w:ascii="Times New Roman" w:hAnsi="Times New Roman" w:cs="Times New Roman"/>
          <w:u w:val="single"/>
        </w:rPr>
      </w:pPr>
    </w:p>
    <w:p w:rsidR="006C37CC" w:rsidRPr="003C2B53" w:rsidRDefault="006C37CC" w:rsidP="00E4450E">
      <w:pPr>
        <w:spacing w:line="360" w:lineRule="auto"/>
        <w:rPr>
          <w:rFonts w:ascii="Times New Roman" w:hAnsi="Times New Roman" w:cs="Times New Roman"/>
          <w:u w:val="single"/>
        </w:rPr>
      </w:pPr>
      <w:r w:rsidRPr="003C2B53">
        <w:rPr>
          <w:rFonts w:ascii="Times New Roman" w:hAnsi="Times New Roman" w:cs="Times New Roman" w:hint="cs"/>
          <w:u w:val="single"/>
        </w:rPr>
        <w:t>Supplementary background on the bacterial flagellum</w:t>
      </w:r>
    </w:p>
    <w:p w:rsidR="00E40608" w:rsidRPr="00485D9D" w:rsidRDefault="00E40608" w:rsidP="00E4450E">
      <w:pPr>
        <w:spacing w:line="360" w:lineRule="auto"/>
        <w:rPr>
          <w:rFonts w:ascii="Times New Roman" w:hAnsi="Times New Roman" w:cs="Times New Roman"/>
        </w:rPr>
      </w:pPr>
    </w:p>
    <w:p w:rsidR="006C37CC" w:rsidRDefault="006C37CC" w:rsidP="00E4450E">
      <w:pPr>
        <w:spacing w:line="360" w:lineRule="auto"/>
        <w:rPr>
          <w:rFonts w:ascii="Times New Roman" w:hAnsi="Times New Roman" w:cs="Times New Roman"/>
          <w:u w:val="single"/>
        </w:rPr>
      </w:pPr>
      <w:r w:rsidRPr="00E4450E">
        <w:rPr>
          <w:rFonts w:ascii="Times New Roman" w:hAnsi="Times New Roman" w:cs="Times New Roman" w:hint="cs"/>
          <w:u w:val="single"/>
        </w:rPr>
        <w:t>Architecture of the Flagellar Basal Body</w:t>
      </w:r>
    </w:p>
    <w:p w:rsidR="00E4450E" w:rsidRPr="00E4450E" w:rsidRDefault="00E4450E" w:rsidP="00E4450E">
      <w:pPr>
        <w:spacing w:line="360" w:lineRule="auto"/>
        <w:rPr>
          <w:rFonts w:ascii="Times New Roman" w:hAnsi="Times New Roman" w:cs="Times New Roman"/>
          <w:u w:val="single"/>
        </w:rPr>
      </w:pPr>
    </w:p>
    <w:p w:rsidR="00E4450E" w:rsidRPr="00485D9D" w:rsidRDefault="006C37CC" w:rsidP="00E4450E">
      <w:pPr>
        <w:spacing w:line="360" w:lineRule="auto"/>
        <w:rPr>
          <w:rFonts w:ascii="Times New Roman" w:hAnsi="Times New Roman" w:cs="Times New Roman"/>
        </w:rPr>
      </w:pPr>
      <w:r w:rsidRPr="00485D9D">
        <w:rPr>
          <w:rFonts w:ascii="Times New Roman" w:hAnsi="Times New Roman" w:cs="Times New Roman" w:hint="cs"/>
        </w:rPr>
        <w:t xml:space="preserve">The flagellar basal body is a membrane-spanning nanomachine that anchors the bacterial flagellum and converts electrochemical ion gradients into the high-speed rotation of an extracellular filament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{"citationID":"e9WGWWkP","properties":{"formattedCitation":"(Berg, 2003; Erhardt et al., 2010)","plainCitation":"(Berg, 2003; Erhardt et al., 2010)","noteIndex":0},"citationItems":[{"id":20,"uris":["http://zotero.org/users/15975276/items/6W68HBAR"],"itemData":{"id":20,"type":"article-journal","abstract":"▪ Abstract  Flagellated bacteria, such as Escherichia coli, swim by rotating thin helical filaments, each driven at its base by a reversible rotary motor, powered by an ion flux. A motor is about 45 nm in diameter and is assembled from about 20 different kinds of parts. It develops maximum torque at stall but can spin several hundred Hz. Its direction of rotation is controlled by a sensory system that enables cells to accumulate in regions deemed more favorable. We know a great deal about motor structure, genetics, assembly, and function, but we do not really understand how it works. We need more crystal structures. All of this is reviewed, but the emphasis is on function.","container-title":"Annual Review of Biochemistry","DOI":"10.1146/annurev.biochem.72.121801.161737","ISSN":"0066-4154, 1545-4509","issue":"1","journalAbbreviation":"Annu. Rev. Biochem.","language":"en","page":"19-54","source":"DOI.org (Crossref)","title":"The Rotary Motor of Bacterial Flagella","volume":"72","author":[{"family":"Berg","given":"Howard C."}],"issued":{"date-parts":[["2003",6]]}}},{"id":258,"uris":["http://zotero.org/users/15975276/items/64F4CLCV"],"itemData":{"id":258,"type":"article-journal","container-title":"Cold Spring Harbor Perspectives in Biology","DOI":"10.1101/cshperspect.a000299","ISSN":"1943-0264","issue":"11","journalAbbreviation":"Cold Spring Harbor Perspectives in Biology","language":"en","page":"a000299-a000299","source":"DOI.org (Crossref)","title":"Bacterial Nanomachines: The Flagellum and Type III Injectisome","title-short":"Bacterial Nanomachines","volume":"2","author":[{"family":"Erhardt","given":"M."},{"family":"Namba","given":"K."},{"family":"Hughes","given":"K. T."}],"issued":{"date-parts":[["2010",11,1]]}}}],"schema":"https://github.com/citation-style-language/schema/raw/master/csl-citation.json"}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(Berg, 2003; Erhardt et al., 2010)</w:t>
      </w:r>
      <w:r w:rsidRPr="00485D9D">
        <w:rPr>
          <w:rFonts w:ascii="Times New Roman" w:hAnsi="Times New Roman" w:cs="Times New Roman" w:hint="cs"/>
        </w:rPr>
        <w:fldChar w:fldCharType="end"/>
      </w:r>
      <w:r w:rsidRPr="00485D9D">
        <w:rPr>
          <w:rFonts w:ascii="Times New Roman" w:hAnsi="Times New Roman" w:cs="Times New Roman" w:hint="cs"/>
        </w:rPr>
        <w:t xml:space="preserve">. High-resolution cryo-EM maps of intact Salmonella enterica basal bodies (2.2–3.7 Å) reveal a concentric, four-layer architecture comprising the LP-ring, rod, MS-ring, and C-ring, assembled from &gt;170 protein chains of 13 different types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{"citationID":"UtE1MKyC","properties":{"formattedCitation":"(Johnson et al., 2021)","plainCitation":"(Johnson et al., 2021)","noteIndex":0},"citationItems":[{"id":210,"uris":["http://zotero.org/users/15975276/items/3MKKF3XF"],"itemData":{"id":210,"type":"article-journal","container-title":"Nature Microbiology","DOI":"10.1038/s41564-021-00895-y","ISSN":"2058-5276","issue":"6","journalAbbreviation":"Nat Microbiol","language":"en","page":"712-721","source":"DOI.org (Crossref)","title":"Molecular structure of the intact bacterial flagellar basal body","volume":"6","author":[{"family":"Johnson","given":"Steven"},{"family":"Furlong","given":"Emily J."},{"family":"Deme","given":"Justin C."},{"family":"Nord","given":"Ashley L."},{"family":"Caesar","given":"Joseph J. E."},{"family":"Chevance","given":"Fabienne F. V."},{"family":"Berry","given":"Richard M."},{"family":"Hughes","given":"Kelly T."},{"family":"Lea","given":"Susan M."}],"issued":{"date-parts":[["2021",4,30]]}}}],"schema":"https://github.com/citation-style-language/schema/raw/master/csl-citation.json"}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(Johnson et al., 2021)</w:t>
      </w:r>
      <w:r w:rsidRPr="00485D9D">
        <w:rPr>
          <w:rFonts w:ascii="Times New Roman" w:hAnsi="Times New Roman" w:cs="Times New Roman" w:hint="cs"/>
        </w:rPr>
        <w:fldChar w:fldCharType="end"/>
      </w:r>
      <w:r w:rsidRPr="00485D9D">
        <w:rPr>
          <w:rFonts w:ascii="Times New Roman" w:hAnsi="Times New Roman" w:cs="Times New Roman" w:hint="cs"/>
        </w:rPr>
        <w:t xml:space="preserve">. The outermost LP-ring built from 26 copies each of </w:t>
      </w:r>
      <w:proofErr w:type="spellStart"/>
      <w:r w:rsidRPr="00485D9D">
        <w:rPr>
          <w:rFonts w:ascii="Times New Roman" w:hAnsi="Times New Roman" w:cs="Times New Roman" w:hint="cs"/>
        </w:rPr>
        <w:t>FlgH</w:t>
      </w:r>
      <w:proofErr w:type="spellEnd"/>
      <w:r w:rsidRPr="00485D9D">
        <w:rPr>
          <w:rFonts w:ascii="Times New Roman" w:hAnsi="Times New Roman" w:cs="Times New Roman" w:hint="cs"/>
        </w:rPr>
        <w:t xml:space="preserve"> (L-ring) and </w:t>
      </w:r>
      <w:proofErr w:type="spellStart"/>
      <w:r w:rsidRPr="00485D9D">
        <w:rPr>
          <w:rFonts w:ascii="Times New Roman" w:hAnsi="Times New Roman" w:cs="Times New Roman" w:hint="cs"/>
        </w:rPr>
        <w:t>FlgI</w:t>
      </w:r>
      <w:proofErr w:type="spellEnd"/>
      <w:r w:rsidRPr="00485D9D">
        <w:rPr>
          <w:rFonts w:ascii="Times New Roman" w:hAnsi="Times New Roman" w:cs="Times New Roman" w:hint="cs"/>
        </w:rPr>
        <w:t xml:space="preserve"> (P-ring) acts as a hydrophobic, lipid-anchored bushing embedded in the outer membrane and peptidoglycan, respectively; its invariant 26-fold symmetry correlates with discrete </w:t>
      </w:r>
      <w:r w:rsidRPr="00485D9D">
        <w:rPr>
          <w:rFonts w:ascii="Cambria Math" w:hAnsi="Cambria Math" w:cs="Cambria Math"/>
        </w:rPr>
        <w:t>∼</w:t>
      </w:r>
      <w:r w:rsidRPr="00485D9D">
        <w:rPr>
          <w:rFonts w:ascii="Times New Roman" w:hAnsi="Times New Roman" w:cs="Times New Roman" w:hint="cs"/>
        </w:rPr>
        <w:t xml:space="preserve">13.8° stepping observed in partially energized motors, suggesting that the LP-ring provides a static interaction potential for rotation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{"citationID":"GEQCmU21","properties":{"formattedCitation":"(Johnson et al., 2021)","plainCitation":"(Johnson et al., 2021)","noteIndex":0},"citationItems":[{"id":210,"uris":["http://zotero.org/users/15975276/items/3MKKF3XF"],"itemData":{"id":210,"type":"article-journal","container-title":"Nature Microbiology","DOI":"10.1038/s41564-021-00895-y","ISSN":"2058-5276","issue":"6","journalAbbreviation":"Nat Microbiol","language":"en","page":"712-721","source":"DOI.org (Crossref)","title":"Molecular structure of the intact bacterial flagellar basal body","volume":"6","author":[{"family":"Johnson","given":"Steven"},{"family":"Furlong","given":"Emily J."},{"family":"Deme","given":"Justin C."},{"family":"Nord","given":"Ashley L."},{"family":"Caesar","given":"Joseph J. E."},{"family":"Chevance","given":"Fabienne F. V."},{"family":"Berry","given":"Richard M."},{"family":"Hughes","given":"Kelly T."},{"family":"Lea","given":"Susan M."}],"issued":{"date-parts":[["2021",4,30]]}}}],"schema":"https://github.com/citation-style-language/schema/raw/master/csl-citation.json"}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(Johnson et al., 2021)</w:t>
      </w:r>
      <w:r w:rsidRPr="00485D9D">
        <w:rPr>
          <w:rFonts w:ascii="Times New Roman" w:hAnsi="Times New Roman" w:cs="Times New Roman" w:hint="cs"/>
        </w:rPr>
        <w:fldChar w:fldCharType="end"/>
      </w:r>
      <w:r w:rsidRPr="00485D9D">
        <w:rPr>
          <w:rFonts w:ascii="Times New Roman" w:hAnsi="Times New Roman" w:cs="Times New Roman" w:hint="cs"/>
        </w:rPr>
        <w:t xml:space="preserve">. Nested inside the LP-ring, the axial rod serves as a rigid drive shaft assembled helically from </w:t>
      </w:r>
      <w:proofErr w:type="spellStart"/>
      <w:r w:rsidRPr="00485D9D">
        <w:rPr>
          <w:rFonts w:ascii="Times New Roman" w:hAnsi="Times New Roman" w:cs="Times New Roman" w:hint="cs"/>
        </w:rPr>
        <w:t>FliE</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FlgB</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FlgC</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FlgF</w:t>
      </w:r>
      <w:proofErr w:type="spellEnd"/>
      <w:r w:rsidRPr="00485D9D">
        <w:rPr>
          <w:rFonts w:ascii="Times New Roman" w:hAnsi="Times New Roman" w:cs="Times New Roman" w:hint="cs"/>
        </w:rPr>
        <w:t xml:space="preserve">, and three conformers of </w:t>
      </w:r>
      <w:proofErr w:type="spellStart"/>
      <w:r w:rsidRPr="00485D9D">
        <w:rPr>
          <w:rFonts w:ascii="Times New Roman" w:hAnsi="Times New Roman" w:cs="Times New Roman" w:hint="cs"/>
        </w:rPr>
        <w:t>FlgG</w:t>
      </w:r>
      <w:proofErr w:type="spellEnd"/>
      <w:r w:rsidRPr="00485D9D">
        <w:rPr>
          <w:rFonts w:ascii="Times New Roman" w:hAnsi="Times New Roman" w:cs="Times New Roman" w:hint="cs"/>
        </w:rPr>
        <w:t xml:space="preserve"> and is nucleated by the type III export gate whose </w:t>
      </w:r>
      <w:proofErr w:type="spellStart"/>
      <w:r w:rsidRPr="00485D9D">
        <w:rPr>
          <w:rFonts w:ascii="Times New Roman" w:hAnsi="Times New Roman" w:cs="Times New Roman" w:hint="cs"/>
        </w:rPr>
        <w:t>FliP</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FliQ</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FliR</w:t>
      </w:r>
      <w:proofErr w:type="spellEnd"/>
      <w:r w:rsidRPr="00485D9D">
        <w:rPr>
          <w:rFonts w:ascii="Times New Roman" w:hAnsi="Times New Roman" w:cs="Times New Roman" w:hint="cs"/>
        </w:rPr>
        <w:t xml:space="preserve"> core seeds ten protofilaments while </w:t>
      </w:r>
      <w:proofErr w:type="spellStart"/>
      <w:r w:rsidRPr="00485D9D">
        <w:rPr>
          <w:rFonts w:ascii="Times New Roman" w:hAnsi="Times New Roman" w:cs="Times New Roman" w:hint="cs"/>
        </w:rPr>
        <w:t>FliR</w:t>
      </w:r>
      <w:proofErr w:type="spellEnd"/>
      <w:r w:rsidRPr="00485D9D">
        <w:rPr>
          <w:rFonts w:ascii="Times New Roman" w:hAnsi="Times New Roman" w:cs="Times New Roman" w:hint="cs"/>
        </w:rPr>
        <w:t xml:space="preserve"> seeds an eleventh, thereby propagating a 5.5-subunit-per-turn lattice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{"citationID":"DpXmeEdw","properties":{"formattedCitation":"(Johnson et al., 2021)","plainCitation":"(Johnson et al., 2021)","noteIndex":0},"citationItems":[{"id":210,"uris":["http://zotero.org/users/15975276/items/3MKKF3XF"],"itemData":{"id":210,"type":"article-journal","container-title":"Nature Microbiology","DOI":"10.1038/s41564-021-00895-y","ISSN":"2058-5276","issue":"6","journalAbbreviation":"Nat Microbiol","language":"en","page":"712-721","source":"DOI.org (Crossref)","title":"Molecular structure of the intact bacterial flagellar basal body","volume":"6","author":[{"family":"Johnson","given":"Steven"},{"family":"Furlong","given":"Emily J."},{"family":"Deme","given":"Justin C."},{"family":"Nord","given":"Ashley L."},{"family":"Caesar","given":"Joseph J. E."},{"family":"Chevance","given":"Fabienne F. V."},{"family":"Berry","given":"Richard M."},{"family":"Hughes","given":"Kelly T."},{"family":"Lea","given":"Susan M."}],"issued":{"date-parts":[["2021",4,30]]}}}],"schema":"https://github.com/citation-style-language/schema/raw/master/csl-citation.json"}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(Johnson et al., 2021)</w:t>
      </w:r>
      <w:r w:rsidRPr="00485D9D">
        <w:rPr>
          <w:rFonts w:ascii="Times New Roman" w:hAnsi="Times New Roman" w:cs="Times New Roman" w:hint="cs"/>
        </w:rPr>
        <w:fldChar w:fldCharType="end"/>
      </w:r>
      <w:r w:rsidRPr="00485D9D">
        <w:rPr>
          <w:rFonts w:ascii="Times New Roman" w:hAnsi="Times New Roman" w:cs="Times New Roman" w:hint="cs"/>
        </w:rPr>
        <w:t>.</w:t>
      </w:r>
    </w:p>
    <w:p w:rsidR="006C37CC" w:rsidRPr="00485D9D" w:rsidRDefault="006C37CC" w:rsidP="00E4450E">
      <w:pPr>
        <w:spacing w:line="360" w:lineRule="auto"/>
        <w:rPr>
          <w:rFonts w:ascii="Times New Roman" w:hAnsi="Times New Roman" w:cs="Times New Roman"/>
        </w:rPr>
      </w:pPr>
      <w:r w:rsidRPr="00485D9D">
        <w:rPr>
          <w:rFonts w:ascii="Times New Roman" w:hAnsi="Times New Roman" w:cs="Times New Roman" w:hint="cs"/>
        </w:rPr>
        <w:t xml:space="preserve">At the inner membrane, the 34-mer MS-ring, composed solely of </w:t>
      </w:r>
      <w:proofErr w:type="spellStart"/>
      <w:r w:rsidRPr="00485D9D">
        <w:rPr>
          <w:rFonts w:ascii="Times New Roman" w:hAnsi="Times New Roman" w:cs="Times New Roman" w:hint="cs"/>
        </w:rPr>
        <w:t>FliF</w:t>
      </w:r>
      <w:proofErr w:type="spellEnd"/>
      <w:r w:rsidRPr="00485D9D">
        <w:rPr>
          <w:rFonts w:ascii="Times New Roman" w:hAnsi="Times New Roman" w:cs="Times New Roman" w:hint="cs"/>
        </w:rPr>
        <w:t xml:space="preserve">, forms stacked RBM2 and RBM3 domains that both couple the export gate below and interface with the C-ring above while accommodating symmetry mismatch through local RBM2 deformation (Johnson et al., 2021). The cytoplasmic C-ring built from variable copies of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and </w:t>
      </w:r>
      <w:proofErr w:type="spellStart"/>
      <w:r w:rsidRPr="00485D9D">
        <w:rPr>
          <w:rFonts w:ascii="Times New Roman" w:hAnsi="Times New Roman" w:cs="Times New Roman" w:hint="cs"/>
        </w:rPr>
        <w:t>FliN</w:t>
      </w:r>
      <w:proofErr w:type="spellEnd"/>
      <w:r w:rsidRPr="00485D9D">
        <w:rPr>
          <w:rFonts w:ascii="Times New Roman" w:hAnsi="Times New Roman" w:cs="Times New Roman" w:hint="cs"/>
        </w:rPr>
        <w:t xml:space="preserve"> functions as the rotor switch complex its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C-terminal ARM repeats dock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stator loops, transducing proton or sodium flux into torque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{"citationID":"mNLWnNaO","properties":{"formattedCitation":"(Deme et al., 2020; Santiveri et al., 2020)","plainCitation":"(Deme et al., 2020; Santiveri et al., 2020)","noteIndex":0},"citationItems":[{"id":234,"uris":["http://zotero.org/users/15975276/items/APME8HGV"],"itemData":{"id":234,"type":"article-journal","container-title":"Nature Microbiology","DOI":"10.1038/s41564-020-0788-8","ISSN":"2058-5276","issue":"12","journalAbbreviation":"Nat Microbiol","language":"en","page":"1553-1564","source":"DOI.org (Crossref)","title":"Structures of the stator complex that drives rotation of the bacterial flagellum","volume":"5","author":[{"family":"Deme","given":"Justin C."},{"family":"Johnson","given":"Steven"},{"family":"Vickery","given":"Owen"},{"family":"Aron","given":"Amy"},{"family":"Monkhouse","given":"Holly"},{"family":"Griffiths","given":"Thomas"},{"family":"James","given":"Rory Hennell"},{"family":"Berks","given":"Ben C."},{"family":"Coulton","given":"James W."},{"family":"Stansfeld","given":"Phillip J."},{"family":"Lea","given":"Susan M."}],"issued":{"date-parts":[["2020",9,14]]}}},{"id":102,"uris":["http://zotero.org/users/15975276/items/QILFCE86"],"itemData":{"id":102,"type":"article-journal","abstract":"Many bacteria use the ﬂagellum for locomotion and chemotaxis. Its bidirectional rotation is driven by a membrane-embedded motor, which uses energy from the transmembrane ion gradient to generate torque at the interface between stator units and rotor. The structural organization of the stator unit (MotAB), its conformational changes upon ion transport, and how these changes power rotation of the ﬂagellum remain unknown. Here, we present ~3 A˚ -resolution cryoelectron microscopy reconstructions of the stator unit in different functional states. We show that the stator unit consists of a dimer of MotB surrounded by a pentamer of MotA. Combining structural data with mutagenesis and functional studies, we identify key residues involved in torque generation and present a detailed mechanistic model for motor function and switching of rotational direction.","container-title":"Cell","DOI":"10.1016/j.cell.2020.08.016","ISSN":"00928674","issue":"1","journalAbbreviation":"Cell","language":"en","page":"244-257.e16","source":"DOI.org (Crossref)","title":"Structure and Function of Stator Units of the Bacterial Flagellar Motor","volume":"183","author":[{"family":"Santiveri","given":"Mònica"},{"family":"Roa-Eguiara","given":"Aritz"},{"family":"Kühne","given":"Caroline"},{"family":"Wadhwa","given":"Navish"},{"family":"Hu","given":"Haidai"},{"family":"Berg","given":"Howard C."},{"family":"Erhardt","given":"Marc"},{"family":"Taylor","given":"Nicholas M.I."}],"issued":{"date-parts":[["2020",10]]}}}],"schema":"https://github.com/citation-style-language/schema/raw/master/csl-citation.json"}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(Deme et al., 2020; Santiveri et al., 2020)</w:t>
      </w:r>
      <w:r w:rsidRPr="00485D9D">
        <w:rPr>
          <w:rFonts w:ascii="Times New Roman" w:hAnsi="Times New Roman" w:cs="Times New Roman" w:hint="cs"/>
        </w:rPr>
        <w:fldChar w:fldCharType="end"/>
      </w:r>
      <w:r w:rsidRPr="00485D9D">
        <w:rPr>
          <w:rFonts w:ascii="Times New Roman" w:hAnsi="Times New Roman" w:cs="Times New Roman" w:hint="cs"/>
        </w:rPr>
        <w:t xml:space="preserve">. The resulting concentric symmetry mismatch (C₂₆ LP-ring: C₃₄ MS-ring: C₃²–₃⁶ C-ring) prevents gear-locking and minimizes friction while maintaining axial alignment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{"citationID":"EgCmUMhM","properties":{"formattedCitation":"(Johnson et al., 2021)","plainCitation":"(Johnson et al., 2021)","noteIndex":0},"citationItems":[{"id":210,"uris":["http://zotero.org/users/15975276/items/3MKKF3XF"],"itemData":{"id":210,"type":"article-journal","container-title":"Nature Microbiology","DOI":"10.1038/s41564-021-00895-y","ISSN":"2058-5276","issue":"6","journalAbbreviation":"Nat Microbiol","language":"en","page":"712-721","source":"DOI.org (Crossref)","title":"Molecular structure of the intact bacterial flagellar basal body","volume":"6","author":[{"family":"Johnson","given":"Steven"},{"family":"Furlong","given":"Emily J."},{"family":"Deme","given":"Justin C."},{"family":"Nord","given":"Ashley L."},{"family":"Caesar","given":"Joseph J. E."},{"family":"Chevance","given":"Fabienne F. V."},{"family":"Berry","given":"Richard M."},{"family":"Hughes","given":"Kelly T."},{"family":"Lea","given":"Susan M."}],"issued":{"date-parts":[["2021",4,30]]}}}],"schema":"https://github.com/citation-style-language/schema/raw/master/csl-citation.json"}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(Johnson et al., 2021)</w:t>
      </w:r>
      <w:r w:rsidRPr="00485D9D">
        <w:rPr>
          <w:rFonts w:ascii="Times New Roman" w:hAnsi="Times New Roman" w:cs="Times New Roman" w:hint="cs"/>
        </w:rPr>
        <w:fldChar w:fldCharType="end"/>
      </w:r>
      <w:r w:rsidRPr="00485D9D">
        <w:rPr>
          <w:rFonts w:ascii="Times New Roman" w:hAnsi="Times New Roman" w:cs="Times New Roman" w:hint="cs"/>
        </w:rPr>
        <w:t xml:space="preserve">. Finally, a pentameric </w:t>
      </w:r>
      <w:proofErr w:type="spellStart"/>
      <w:r w:rsidRPr="00485D9D">
        <w:rPr>
          <w:rFonts w:ascii="Times New Roman" w:hAnsi="Times New Roman" w:cs="Times New Roman" w:hint="cs"/>
        </w:rPr>
        <w:t>FlgD</w:t>
      </w:r>
      <w:proofErr w:type="spellEnd"/>
      <w:r w:rsidRPr="00485D9D">
        <w:rPr>
          <w:rFonts w:ascii="Times New Roman" w:hAnsi="Times New Roman" w:cs="Times New Roman" w:hint="cs"/>
        </w:rPr>
        <w:t xml:space="preserve"> cap atop the distal rod operates as a stepped "revolver" that sequentially exposes binding sites for hook subunits, ensuring helical continuity between the rod and filament (Johnson et al., 2021). </w:t>
      </w:r>
    </w:p>
    <w:p w:rsidR="00ED777B" w:rsidRPr="00682329" w:rsidRDefault="00ED777B" w:rsidP="00E4450E">
      <w:pPr>
        <w:spacing w:line="360" w:lineRule="auto"/>
        <w:rPr>
          <w:rFonts w:ascii="Times New Roman" w:hAnsi="Times New Roman" w:cs="Times New Roman"/>
          <w:u w:val="single"/>
        </w:rPr>
      </w:pPr>
    </w:p>
    <w:p w:rsidR="006C37CC" w:rsidRDefault="006C37CC" w:rsidP="00E4450E">
      <w:pPr>
        <w:spacing w:line="360" w:lineRule="auto"/>
        <w:rPr>
          <w:rFonts w:ascii="Times New Roman" w:hAnsi="Times New Roman" w:cs="Times New Roman"/>
          <w:u w:val="single"/>
        </w:rPr>
      </w:pPr>
      <w:r w:rsidRPr="00682329">
        <w:rPr>
          <w:rFonts w:ascii="Times New Roman" w:hAnsi="Times New Roman" w:cs="Times New Roman" w:hint="cs"/>
          <w:u w:val="single"/>
        </w:rPr>
        <w:t>Architecture of the Flagellar Basal Body</w:t>
      </w:r>
    </w:p>
    <w:p w:rsidR="00E4450E" w:rsidRPr="00682329" w:rsidRDefault="00E4450E" w:rsidP="00E4450E">
      <w:pPr>
        <w:spacing w:line="360" w:lineRule="auto"/>
        <w:rPr>
          <w:rFonts w:ascii="Times New Roman" w:hAnsi="Times New Roman" w:cs="Times New Roman"/>
          <w:u w:val="single"/>
        </w:rPr>
      </w:pPr>
    </w:p>
    <w:p w:rsidR="00E4450E" w:rsidRPr="00485D9D" w:rsidRDefault="006C37CC" w:rsidP="00E4450E">
      <w:pPr>
        <w:spacing w:line="360" w:lineRule="auto"/>
        <w:rPr>
          <w:rFonts w:ascii="Times New Roman" w:hAnsi="Times New Roman" w:cs="Times New Roman"/>
        </w:rPr>
      </w:pPr>
      <w:r w:rsidRPr="00485D9D">
        <w:rPr>
          <w:rFonts w:ascii="Times New Roman" w:hAnsi="Times New Roman" w:cs="Times New Roman" w:hint="cs"/>
        </w:rPr>
        <w:t xml:space="preserve">The flagellar basal body is a membrane-spanning nanomachine that anchors the bacterial flagellum and converts electrochemical ion gradients into the high-speed rotation of an extracellular filament (Berg, 2003; Erhardt et al., 2010). High-resolution cryo-EM maps of intact Salmonella enterica basal bodies (2.2–3.7 Å) reveal a concentric, four-layer architecture comprising the LP-ring, rod, MS-ring, and C-ring, assembled from &gt;170 protein chains of 13 different types (Johnson et al., 2021). The outermost LP-ring built from 26 copies each of </w:t>
      </w:r>
      <w:proofErr w:type="spellStart"/>
      <w:r w:rsidRPr="00485D9D">
        <w:rPr>
          <w:rFonts w:ascii="Times New Roman" w:hAnsi="Times New Roman" w:cs="Times New Roman" w:hint="cs"/>
        </w:rPr>
        <w:t>FlgH</w:t>
      </w:r>
      <w:proofErr w:type="spellEnd"/>
      <w:r w:rsidRPr="00485D9D">
        <w:rPr>
          <w:rFonts w:ascii="Times New Roman" w:hAnsi="Times New Roman" w:cs="Times New Roman" w:hint="cs"/>
        </w:rPr>
        <w:t xml:space="preserve"> (L-ring) and </w:t>
      </w:r>
      <w:proofErr w:type="spellStart"/>
      <w:r w:rsidRPr="00485D9D">
        <w:rPr>
          <w:rFonts w:ascii="Times New Roman" w:hAnsi="Times New Roman" w:cs="Times New Roman" w:hint="cs"/>
        </w:rPr>
        <w:t>FlgI</w:t>
      </w:r>
      <w:proofErr w:type="spellEnd"/>
      <w:r w:rsidRPr="00485D9D">
        <w:rPr>
          <w:rFonts w:ascii="Times New Roman" w:hAnsi="Times New Roman" w:cs="Times New Roman" w:hint="cs"/>
        </w:rPr>
        <w:t xml:space="preserve"> (P-ring) acts as a hydrophobic, lipid-anchored bushing embedded in the outer membrane and peptidoglycan, respectively; its invariant 26-fold symmetry correlates with discrete </w:t>
      </w:r>
      <w:r w:rsidRPr="00485D9D">
        <w:rPr>
          <w:rFonts w:ascii="Cambria Math" w:hAnsi="Cambria Math" w:cs="Cambria Math"/>
        </w:rPr>
        <w:t>∼</w:t>
      </w:r>
      <w:r w:rsidRPr="00485D9D">
        <w:rPr>
          <w:rFonts w:ascii="Times New Roman" w:hAnsi="Times New Roman" w:cs="Times New Roman" w:hint="cs"/>
        </w:rPr>
        <w:t xml:space="preserve">13.8° stepping observed in partially energized motors, suggesting that the LP-ring provides a static interaction potential for rotation (Johnson et al., 2021). Nested inside the LP-ring, the axial rod serves as a rigid drive shaft assembled helically from </w:t>
      </w:r>
      <w:proofErr w:type="spellStart"/>
      <w:r w:rsidRPr="00485D9D">
        <w:rPr>
          <w:rFonts w:ascii="Times New Roman" w:hAnsi="Times New Roman" w:cs="Times New Roman" w:hint="cs"/>
        </w:rPr>
        <w:t>FliE</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FlgB</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FlgC</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FlgF</w:t>
      </w:r>
      <w:proofErr w:type="spellEnd"/>
      <w:r w:rsidRPr="00485D9D">
        <w:rPr>
          <w:rFonts w:ascii="Times New Roman" w:hAnsi="Times New Roman" w:cs="Times New Roman" w:hint="cs"/>
        </w:rPr>
        <w:t xml:space="preserve">, and three conformers of </w:t>
      </w:r>
      <w:proofErr w:type="spellStart"/>
      <w:r w:rsidRPr="00485D9D">
        <w:rPr>
          <w:rFonts w:ascii="Times New Roman" w:hAnsi="Times New Roman" w:cs="Times New Roman" w:hint="cs"/>
        </w:rPr>
        <w:t>FlgG</w:t>
      </w:r>
      <w:proofErr w:type="spellEnd"/>
      <w:r w:rsidRPr="00485D9D">
        <w:rPr>
          <w:rFonts w:ascii="Times New Roman" w:hAnsi="Times New Roman" w:cs="Times New Roman" w:hint="cs"/>
        </w:rPr>
        <w:t xml:space="preserve"> and is nucleated by the type III export gate whose </w:t>
      </w:r>
      <w:proofErr w:type="spellStart"/>
      <w:r w:rsidRPr="00485D9D">
        <w:rPr>
          <w:rFonts w:ascii="Times New Roman" w:hAnsi="Times New Roman" w:cs="Times New Roman" w:hint="cs"/>
        </w:rPr>
        <w:t>FliP</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FliQ</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FliR</w:t>
      </w:r>
      <w:proofErr w:type="spellEnd"/>
      <w:r w:rsidRPr="00485D9D">
        <w:rPr>
          <w:rFonts w:ascii="Times New Roman" w:hAnsi="Times New Roman" w:cs="Times New Roman" w:hint="cs"/>
        </w:rPr>
        <w:t xml:space="preserve"> core seeds ten protofilaments while </w:t>
      </w:r>
      <w:proofErr w:type="spellStart"/>
      <w:r w:rsidRPr="00485D9D">
        <w:rPr>
          <w:rFonts w:ascii="Times New Roman" w:hAnsi="Times New Roman" w:cs="Times New Roman" w:hint="cs"/>
        </w:rPr>
        <w:t>FliR</w:t>
      </w:r>
      <w:proofErr w:type="spellEnd"/>
      <w:r w:rsidRPr="00485D9D">
        <w:rPr>
          <w:rFonts w:ascii="Times New Roman" w:hAnsi="Times New Roman" w:cs="Times New Roman" w:hint="cs"/>
        </w:rPr>
        <w:t xml:space="preserve"> seeds an eleventh, thereby propagating a 5.5-subunit-per-turn lattice (Johnson et al., 2021).</w:t>
      </w:r>
    </w:p>
    <w:p w:rsidR="006C37CC" w:rsidRPr="00485D9D" w:rsidRDefault="006C37CC" w:rsidP="00E4450E">
      <w:pPr>
        <w:spacing w:line="360" w:lineRule="auto"/>
        <w:rPr>
          <w:rFonts w:ascii="Times New Roman" w:hAnsi="Times New Roman" w:cs="Times New Roman"/>
        </w:rPr>
      </w:pPr>
      <w:r w:rsidRPr="00485D9D">
        <w:rPr>
          <w:rFonts w:ascii="Times New Roman" w:hAnsi="Times New Roman" w:cs="Times New Roman" w:hint="cs"/>
        </w:rPr>
        <w:t xml:space="preserve">At the inner membrane, the 34-mer MS-ring, composed solely of </w:t>
      </w:r>
      <w:proofErr w:type="spellStart"/>
      <w:r w:rsidRPr="00485D9D">
        <w:rPr>
          <w:rFonts w:ascii="Times New Roman" w:hAnsi="Times New Roman" w:cs="Times New Roman" w:hint="cs"/>
        </w:rPr>
        <w:t>FliF</w:t>
      </w:r>
      <w:proofErr w:type="spellEnd"/>
      <w:r w:rsidRPr="00485D9D">
        <w:rPr>
          <w:rFonts w:ascii="Times New Roman" w:hAnsi="Times New Roman" w:cs="Times New Roman" w:hint="cs"/>
        </w:rPr>
        <w:t xml:space="preserve">, forms stacked RBM2 and RBM3 domains that both couple the export gate below and interface with the C-ring above while accommodating symmetry mismatch through local RBM2 deformation (Johnson et al., 2021). The cytoplasmic C-ring built from variable copies of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and </w:t>
      </w:r>
      <w:proofErr w:type="spellStart"/>
      <w:r w:rsidRPr="00485D9D">
        <w:rPr>
          <w:rFonts w:ascii="Times New Roman" w:hAnsi="Times New Roman" w:cs="Times New Roman" w:hint="cs"/>
        </w:rPr>
        <w:t>FliN</w:t>
      </w:r>
      <w:proofErr w:type="spellEnd"/>
      <w:r w:rsidRPr="00485D9D">
        <w:rPr>
          <w:rFonts w:ascii="Times New Roman" w:hAnsi="Times New Roman" w:cs="Times New Roman" w:hint="cs"/>
        </w:rPr>
        <w:t xml:space="preserve"> functions as the rotor switch complex its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C-terminal ARM repeats dock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stator loops, transducing proton or sodium flux into torque (Deme et al., 2020; </w:t>
      </w:r>
      <w:proofErr w:type="spellStart"/>
      <w:r w:rsidRPr="00485D9D">
        <w:rPr>
          <w:rFonts w:ascii="Times New Roman" w:hAnsi="Times New Roman" w:cs="Times New Roman" w:hint="cs"/>
        </w:rPr>
        <w:t>Santiveri</w:t>
      </w:r>
      <w:proofErr w:type="spellEnd"/>
      <w:r w:rsidRPr="00485D9D">
        <w:rPr>
          <w:rFonts w:ascii="Times New Roman" w:hAnsi="Times New Roman" w:cs="Times New Roman" w:hint="cs"/>
        </w:rPr>
        <w:t xml:space="preserve"> et al., 2020). The resulting concentric symmetry mismatch (C₂₆ LP-ring: C₃₄ MS-ring: C₃²–₃⁶ C-ring) prevents gear-locking and minimizes friction while maintaining axial alignment (Johnson et al., 2021). Finally, a pentameric </w:t>
      </w:r>
      <w:proofErr w:type="spellStart"/>
      <w:r w:rsidRPr="00485D9D">
        <w:rPr>
          <w:rFonts w:ascii="Times New Roman" w:hAnsi="Times New Roman" w:cs="Times New Roman" w:hint="cs"/>
        </w:rPr>
        <w:t>FlgD</w:t>
      </w:r>
      <w:proofErr w:type="spellEnd"/>
      <w:r w:rsidRPr="00485D9D">
        <w:rPr>
          <w:rFonts w:ascii="Times New Roman" w:hAnsi="Times New Roman" w:cs="Times New Roman" w:hint="cs"/>
        </w:rPr>
        <w:t xml:space="preserve"> cap atop the distal rod operates as a stepped "revolver" that sequentially exposes binding sites for hook subunits, ensuring helical continuity between the rod and filament (Johnson et al., 2021).</w:t>
      </w:r>
    </w:p>
    <w:p w:rsidR="006C37CC" w:rsidRPr="00485D9D" w:rsidRDefault="006C37CC" w:rsidP="00E4450E">
      <w:pPr>
        <w:spacing w:line="360" w:lineRule="auto"/>
        <w:rPr>
          <w:rFonts w:ascii="Times New Roman" w:hAnsi="Times New Roman" w:cs="Times New Roman"/>
        </w:rPr>
      </w:pPr>
    </w:p>
    <w:p w:rsidR="00E4450E" w:rsidRDefault="00E4450E" w:rsidP="00E4450E">
      <w:pPr>
        <w:spacing w:line="360" w:lineRule="auto"/>
        <w:rPr>
          <w:rFonts w:ascii="Times New Roman" w:hAnsi="Times New Roman" w:cs="Times New Roman"/>
          <w:u w:val="single"/>
        </w:rPr>
      </w:pPr>
    </w:p>
    <w:p w:rsidR="00E4450E" w:rsidRDefault="00E4450E" w:rsidP="00E4450E">
      <w:pPr>
        <w:spacing w:line="360" w:lineRule="auto"/>
        <w:rPr>
          <w:rFonts w:ascii="Times New Roman" w:hAnsi="Times New Roman" w:cs="Times New Roman"/>
          <w:u w:val="single"/>
        </w:rPr>
      </w:pPr>
    </w:p>
    <w:p w:rsidR="00E4450E" w:rsidRDefault="00E4450E" w:rsidP="00E4450E">
      <w:pPr>
        <w:spacing w:line="360" w:lineRule="auto"/>
        <w:rPr>
          <w:rFonts w:ascii="Times New Roman" w:hAnsi="Times New Roman" w:cs="Times New Roman"/>
          <w:u w:val="single"/>
        </w:rPr>
      </w:pPr>
    </w:p>
    <w:p w:rsidR="006C37CC" w:rsidRDefault="00ED777B" w:rsidP="00E4450E">
      <w:pPr>
        <w:spacing w:line="360" w:lineRule="auto"/>
        <w:rPr>
          <w:rFonts w:ascii="Times New Roman" w:hAnsi="Times New Roman" w:cs="Times New Roman"/>
          <w:u w:val="single"/>
        </w:rPr>
      </w:pPr>
      <w:r w:rsidRPr="004D6FCB">
        <w:rPr>
          <w:rFonts w:ascii="Times New Roman" w:hAnsi="Times New Roman" w:cs="Times New Roman" w:hint="cs"/>
          <w:u w:val="single"/>
        </w:rPr>
        <w:t>T</w:t>
      </w:r>
      <w:r w:rsidR="006C37CC" w:rsidRPr="004D6FCB">
        <w:rPr>
          <w:rFonts w:ascii="Times New Roman" w:hAnsi="Times New Roman" w:cs="Times New Roman" w:hint="cs"/>
          <w:u w:val="single"/>
        </w:rPr>
        <w:t>orqu</w:t>
      </w:r>
      <w:r w:rsidRPr="004D6FCB">
        <w:rPr>
          <w:rFonts w:ascii="Times New Roman" w:hAnsi="Times New Roman" w:cs="Times New Roman" w:hint="cs"/>
          <w:u w:val="single"/>
        </w:rPr>
        <w:t>e</w:t>
      </w:r>
      <w:r w:rsidR="006C37CC" w:rsidRPr="004D6FCB">
        <w:rPr>
          <w:rFonts w:ascii="Times New Roman" w:hAnsi="Times New Roman" w:cs="Times New Roman" w:hint="cs"/>
          <w:u w:val="single"/>
        </w:rPr>
        <w:t xml:space="preserve"> genera</w:t>
      </w:r>
      <w:r w:rsidRPr="004D6FCB">
        <w:rPr>
          <w:rFonts w:ascii="Times New Roman" w:hAnsi="Times New Roman" w:cs="Times New Roman" w:hint="cs"/>
          <w:u w:val="single"/>
        </w:rPr>
        <w:t>tion</w:t>
      </w:r>
    </w:p>
    <w:p w:rsidR="00E4450E" w:rsidRPr="004D6FCB" w:rsidRDefault="00E4450E" w:rsidP="00E4450E">
      <w:pPr>
        <w:spacing w:line="360" w:lineRule="auto"/>
        <w:rPr>
          <w:rFonts w:ascii="Times New Roman" w:hAnsi="Times New Roman" w:cs="Times New Roman"/>
          <w:u w:val="single"/>
        </w:rPr>
      </w:pPr>
    </w:p>
    <w:p w:rsidR="00E4450E" w:rsidRPr="00485D9D" w:rsidRDefault="00ED777B" w:rsidP="00E4450E">
      <w:pPr>
        <w:spacing w:line="360" w:lineRule="auto"/>
        <w:rPr>
          <w:rFonts w:ascii="Times New Roman" w:hAnsi="Times New Roman" w:cs="Times New Roman"/>
        </w:rPr>
      </w:pP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constitutes the cytoplasmic C-ring, the central hub that interfaces with the MS-ring and stator complexes to generate bidirectional torque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Its tripartite domain architecture enables this function. The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-N domain co-folds with the C-terminus of </w:t>
      </w:r>
      <w:proofErr w:type="spellStart"/>
      <w:r w:rsidRPr="00485D9D">
        <w:rPr>
          <w:rFonts w:ascii="Times New Roman" w:hAnsi="Times New Roman" w:cs="Times New Roman" w:hint="cs"/>
        </w:rPr>
        <w:t>FliF</w:t>
      </w:r>
      <w:proofErr w:type="spellEnd"/>
      <w:r w:rsidRPr="00485D9D">
        <w:rPr>
          <w:rFonts w:ascii="Times New Roman" w:hAnsi="Times New Roman" w:cs="Times New Roman" w:hint="cs"/>
        </w:rPr>
        <w:t xml:space="preserve"> via a split ARM-like motif, creating an interlocked rotor chassis with strict 1:1 stoichiometry. This interaction nucleates the C-ring assembly and provides membrane anchorage for the rotor complex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The middle domain,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-M, forms the structural core of the rotor barrel while simultaneously binding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to bridge torque generation with chemotactic signaling cascades (Brown, 2002; Lee et al., 2010). Critically, the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-C domain hosts the conserved "torque helix," a lysine/arginine-rich amphipathic α-helix that functions as the stator's primary lever arm. Electrostatic surfaces on this helix guide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binding, while steric clashes during stator activation drive rotational power strokes (Tan et al., 2024).</w:t>
      </w:r>
    </w:p>
    <w:p w:rsidR="00ED777B" w:rsidRDefault="00ED777B" w:rsidP="00E4450E">
      <w:pPr>
        <w:spacing w:line="360" w:lineRule="auto"/>
        <w:rPr>
          <w:rFonts w:ascii="Times New Roman" w:hAnsi="Times New Roman" w:cs="Times New Roman"/>
        </w:rPr>
      </w:pPr>
      <w:r w:rsidRPr="00485D9D">
        <w:rPr>
          <w:rFonts w:ascii="Times New Roman" w:hAnsi="Times New Roman" w:cs="Times New Roman" w:hint="cs"/>
        </w:rPr>
        <w:t xml:space="preserve">Evolutionary adaptations demonstrate how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architecture enables torque amplification. Species such as ε-proteobacteria widen the C-ring diameter or incorporate additional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copies (up to 45 subunits), increasing the lever radius to achieve 3–4-fold higher torque than enteric bacteria like E. coli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Directional switching is orchestrated through allosteric control of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-C. Phosphorylated </w:t>
      </w:r>
      <w:proofErr w:type="spellStart"/>
      <w:r w:rsidRPr="00485D9D">
        <w:rPr>
          <w:rFonts w:ascii="Times New Roman" w:hAnsi="Times New Roman" w:cs="Times New Roman" w:hint="cs"/>
        </w:rPr>
        <w:t>CheY</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CheY</w:t>
      </w:r>
      <w:proofErr w:type="spellEnd"/>
      <w:r w:rsidRPr="00485D9D">
        <w:rPr>
          <w:rFonts w:ascii="Times New Roman" w:hAnsi="Times New Roman" w:cs="Times New Roman" w:hint="cs"/>
        </w:rPr>
        <w:t xml:space="preserve">-P) binding to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FliN</w:t>
      </w:r>
      <w:proofErr w:type="spellEnd"/>
      <w:r w:rsidRPr="00485D9D">
        <w:rPr>
          <w:rFonts w:ascii="Times New Roman" w:hAnsi="Times New Roman" w:cs="Times New Roman" w:hint="cs"/>
        </w:rPr>
        <w:t xml:space="preserve"> induces a 180° rotation in the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-C torque helix (Sarkar et al., 2010). This reorients electrostatic complementarity with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flipping motor rotation from counterclockwise (CCW) to clockwise (CW) in &lt;1 </w:t>
      </w:r>
      <w:proofErr w:type="spellStart"/>
      <w:r w:rsidRPr="00485D9D">
        <w:rPr>
          <w:rFonts w:ascii="Times New Roman" w:hAnsi="Times New Roman" w:cs="Times New Roman" w:hint="cs"/>
        </w:rPr>
        <w:t>ms</w:t>
      </w:r>
      <w:proofErr w:type="spellEnd"/>
      <w:r w:rsidRPr="00485D9D">
        <w:rPr>
          <w:rFonts w:ascii="Times New Roman" w:hAnsi="Times New Roman" w:cs="Times New Roman" w:hint="cs"/>
        </w:rPr>
        <w:t xml:space="preserve"> (Figure 1), a switch critical for chemotactic reorientation (Yuan &amp; Berg, 2008).</w:t>
      </w:r>
    </w:p>
    <w:p w:rsidR="004D6FCB" w:rsidRDefault="004D6FCB" w:rsidP="00E4450E">
      <w:pPr>
        <w:spacing w:line="360" w:lineRule="auto"/>
        <w:rPr>
          <w:rFonts w:ascii="Times New Roman" w:hAnsi="Times New Roman" w:cs="Times New Roman"/>
        </w:rPr>
      </w:pPr>
    </w:p>
    <w:p w:rsidR="004D6FCB" w:rsidRPr="00485D9D" w:rsidRDefault="004D6FCB" w:rsidP="00E4450E">
      <w:pPr>
        <w:spacing w:line="360" w:lineRule="auto"/>
        <w:rPr>
          <w:rFonts w:ascii="Times New Roman" w:hAnsi="Times New Roman" w:cs="Times New Roman"/>
        </w:rPr>
      </w:pPr>
      <w:r>
        <w:rPr>
          <w:rFonts w:ascii="Times New Roman" w:hAnsi="Times New Roman" w:cs="Times New Roman" w:hint="cs"/>
          <w:noProof/>
        </w:rPr>
        <w:lastRenderedPageBreak/>
        <w:drawing>
          <wp:inline distT="0" distB="0" distL="0" distR="0">
            <wp:extent cx="5943600" cy="4051300"/>
            <wp:effectExtent l="0" t="0" r="0" b="0"/>
            <wp:docPr id="89836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60120" name="Picture 898360120"/>
                    <pic:cNvPicPr/>
                  </pic:nvPicPr>
                  <pic:blipFill>
                    <a:blip r:embed="rId4">
                      <a:extLst>
                        <a:ext uri="{28A0092B-C50C-407E-A947-70E740481C1C}">
                          <a14:useLocalDpi xmlns:a14="http://schemas.microsoft.com/office/drawing/2010/main" val="0"/>
                        </a:ext>
                      </a:extLst>
                    </a:blip>
                    <a:stretch>
                      <a:fillRect/>
                    </a:stretch>
                  </pic:blipFill>
                  <pic:spPr>
                    <a:xfrm>
                      <a:off x="0" y="0"/>
                      <a:ext cx="5943600" cy="4051300"/>
                    </a:xfrm>
                    <a:prstGeom prst="rect">
                      <a:avLst/>
                    </a:prstGeom>
                  </pic:spPr>
                </pic:pic>
              </a:graphicData>
            </a:graphic>
          </wp:inline>
        </w:drawing>
      </w:r>
    </w:p>
    <w:p w:rsidR="00ED777B" w:rsidRPr="00485D9D" w:rsidRDefault="00ED777B" w:rsidP="00E4450E">
      <w:pPr>
        <w:spacing w:line="360" w:lineRule="auto"/>
        <w:rPr>
          <w:rFonts w:ascii="Times New Roman" w:hAnsi="Times New Roman" w:cs="Times New Roman"/>
        </w:rPr>
      </w:pPr>
    </w:p>
    <w:p w:rsidR="00ED777B" w:rsidRPr="00485D9D" w:rsidRDefault="00ED777B" w:rsidP="00E4450E">
      <w:pPr>
        <w:spacing w:line="360" w:lineRule="auto"/>
        <w:rPr>
          <w:rFonts w:ascii="Times New Roman" w:hAnsi="Times New Roman" w:cs="Times New Roman"/>
        </w:rPr>
      </w:pPr>
    </w:p>
    <w:p w:rsidR="00ED777B" w:rsidRPr="00485D9D" w:rsidRDefault="00ED777B" w:rsidP="00E4450E">
      <w:pPr>
        <w:spacing w:line="360" w:lineRule="auto"/>
        <w:rPr>
          <w:rFonts w:ascii="Times New Roman" w:hAnsi="Times New Roman" w:cs="Times New Roman"/>
        </w:rPr>
      </w:pPr>
      <w:r w:rsidRPr="00485D9D">
        <w:rPr>
          <w:rFonts w:ascii="Times New Roman" w:hAnsi="Times New Roman" w:cs="Times New Roman" w:hint="cs"/>
        </w:rPr>
        <w:t xml:space="preserve">Figure 1:  A structural overview of bacterial flagellum illustrating </w:t>
      </w:r>
      <w:proofErr w:type="spellStart"/>
      <w:r w:rsidRPr="00485D9D">
        <w:rPr>
          <w:rFonts w:ascii="Times New Roman" w:hAnsi="Times New Roman" w:cs="Times New Roman" w:hint="cs"/>
        </w:rPr>
        <w:t>counterwise</w:t>
      </w:r>
      <w:proofErr w:type="spellEnd"/>
      <w:r w:rsidRPr="00485D9D">
        <w:rPr>
          <w:rFonts w:ascii="Times New Roman" w:hAnsi="Times New Roman" w:cs="Times New Roman" w:hint="cs"/>
        </w:rPr>
        <w:t xml:space="preserve"> (CCW) rotation associated with smooth swimming and clockwise (CW) rotation associated with tumbling, highlights the primary structural components: the filament, hook, basal body, rotor (MS-ring and C-ring), and stator units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MotB</w:t>
      </w:r>
      <w:proofErr w:type="spellEnd"/>
      <w:r w:rsidRPr="00485D9D">
        <w:rPr>
          <w:rFonts w:ascii="Times New Roman" w:hAnsi="Times New Roman" w:cs="Times New Roman" w:hint="cs"/>
        </w:rPr>
        <w:t xml:space="preserve"> complexes). The basal body spans the bacterial inner membrane, peptidoglycan layer, and outer membrane, facilitating torque transmission and directional switching (Johnson et al., 2024).</w:t>
      </w:r>
    </w:p>
    <w:p w:rsidR="00ED777B" w:rsidRPr="00485D9D" w:rsidRDefault="00ED777B" w:rsidP="00E4450E">
      <w:pPr>
        <w:spacing w:line="360" w:lineRule="auto"/>
        <w:rPr>
          <w:rFonts w:ascii="Times New Roman" w:hAnsi="Times New Roman" w:cs="Times New Roman"/>
        </w:rPr>
      </w:pPr>
    </w:p>
    <w:p w:rsidR="00ED777B" w:rsidRPr="00485D9D" w:rsidRDefault="00ED777B" w:rsidP="00E4450E">
      <w:pPr>
        <w:spacing w:line="360" w:lineRule="auto"/>
        <w:rPr>
          <w:rFonts w:ascii="Times New Roman" w:hAnsi="Times New Roman" w:cs="Times New Roman"/>
        </w:rPr>
      </w:pPr>
      <w:r w:rsidRPr="00485D9D">
        <w:rPr>
          <w:rFonts w:ascii="Times New Roman" w:hAnsi="Times New Roman" w:cs="Times New Roman" w:hint="cs"/>
        </w:rPr>
        <w:t xml:space="preserve">The rotor is surrounded by the stator layer, formed by multiple </w:t>
      </w:r>
      <w:proofErr w:type="spellStart"/>
      <w:r w:rsidRPr="00485D9D">
        <w:rPr>
          <w:rFonts w:ascii="Times New Roman" w:hAnsi="Times New Roman" w:cs="Times New Roman" w:hint="cs"/>
        </w:rPr>
        <w:t>MotA₅MotB</w:t>
      </w:r>
      <w:proofErr w:type="spellEnd"/>
      <w:r w:rsidRPr="00485D9D">
        <w:rPr>
          <w:rFonts w:ascii="Times New Roman" w:hAnsi="Times New Roman" w:cs="Times New Roman" w:hint="cs"/>
        </w:rPr>
        <w:t>₂ complexes (</w:t>
      </w:r>
      <w:proofErr w:type="spellStart"/>
      <w:r w:rsidRPr="00485D9D">
        <w:rPr>
          <w:rFonts w:ascii="Times New Roman" w:hAnsi="Times New Roman" w:cs="Times New Roman" w:hint="cs"/>
        </w:rPr>
        <w:t>Rieu</w:t>
      </w:r>
      <w:proofErr w:type="spellEnd"/>
      <w:r w:rsidRPr="00485D9D">
        <w:rPr>
          <w:rFonts w:ascii="Times New Roman" w:hAnsi="Times New Roman" w:cs="Times New Roman" w:hint="cs"/>
        </w:rPr>
        <w:t xml:space="preserve"> et al., 2022; Tan et al., 2024; Yamaguchi et al., 2021). Each </w:t>
      </w:r>
      <w:proofErr w:type="spellStart"/>
      <w:r w:rsidRPr="00485D9D">
        <w:rPr>
          <w:rFonts w:ascii="Times New Roman" w:hAnsi="Times New Roman" w:cs="Times New Roman" w:hint="cs"/>
        </w:rPr>
        <w:t>MotB</w:t>
      </w:r>
      <w:proofErr w:type="spellEnd"/>
      <w:r w:rsidRPr="00485D9D">
        <w:rPr>
          <w:rFonts w:ascii="Times New Roman" w:hAnsi="Times New Roman" w:cs="Times New Roman" w:hint="cs"/>
        </w:rPr>
        <w:t xml:space="preserve"> dimer anchors to peptidoglycan via its </w:t>
      </w:r>
      <w:proofErr w:type="spellStart"/>
      <w:r w:rsidRPr="00485D9D">
        <w:rPr>
          <w:rFonts w:ascii="Times New Roman" w:hAnsi="Times New Roman" w:cs="Times New Roman" w:hint="cs"/>
        </w:rPr>
        <w:t>OmpA</w:t>
      </w:r>
      <w:proofErr w:type="spellEnd"/>
      <w:r w:rsidRPr="00485D9D">
        <w:rPr>
          <w:rFonts w:ascii="Times New Roman" w:hAnsi="Times New Roman" w:cs="Times New Roman" w:hint="cs"/>
        </w:rPr>
        <w:t xml:space="preserve">-like periplasmic domain, while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pentamers create annular proton channels (</w:t>
      </w:r>
      <w:proofErr w:type="spellStart"/>
      <w:r w:rsidRPr="00485D9D">
        <w:rPr>
          <w:rFonts w:ascii="Times New Roman" w:hAnsi="Times New Roman" w:cs="Times New Roman" w:hint="cs"/>
        </w:rPr>
        <w:t>Santiveri</w:t>
      </w:r>
      <w:proofErr w:type="spellEnd"/>
      <w:r w:rsidRPr="00485D9D">
        <w:rPr>
          <w:rFonts w:ascii="Times New Roman" w:hAnsi="Times New Roman" w:cs="Times New Roman" w:hint="cs"/>
        </w:rPr>
        <w:t xml:space="preserve"> et al., 2020). Protonation of MotB-Asp32 induces a "kink-and-swivel" in adjacent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transmembrane helices (Nishihara &amp; Kitao, 2015); conformational cycling delivers sequential electrostatic pushes to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-C torque helices, advancing the rotor in discrete 16° steps </w:t>
      </w:r>
      <w:r w:rsidRPr="00485D9D">
        <w:rPr>
          <w:rFonts w:ascii="Times New Roman" w:hAnsi="Times New Roman" w:cs="Times New Roman" w:hint="cs"/>
        </w:rPr>
        <w:lastRenderedPageBreak/>
        <w:t xml:space="preserve">(Tan et al., 2024). High-torque motors (e.g., </w:t>
      </w:r>
      <w:proofErr w:type="spellStart"/>
      <w:r w:rsidRPr="00485D9D">
        <w:rPr>
          <w:rFonts w:ascii="Times New Roman" w:hAnsi="Times New Roman" w:cs="Times New Roman" w:hint="cs"/>
        </w:rPr>
        <w:t>Paenibacillus</w:t>
      </w:r>
      <w:proofErr w:type="spellEnd"/>
      <w:r w:rsidRPr="00485D9D">
        <w:rPr>
          <w:rFonts w:ascii="Times New Roman" w:hAnsi="Times New Roman" w:cs="Times New Roman" w:hint="cs"/>
        </w:rPr>
        <w:t xml:space="preserve">) enhance power via continuous stator rings with additional </w:t>
      </w:r>
      <w:proofErr w:type="spellStart"/>
      <w:r w:rsidRPr="00485D9D">
        <w:rPr>
          <w:rFonts w:ascii="Times New Roman" w:hAnsi="Times New Roman" w:cs="Times New Roman" w:hint="cs"/>
        </w:rPr>
        <w:t>MotA₅MotB</w:t>
      </w:r>
      <w:proofErr w:type="spellEnd"/>
      <w:r w:rsidRPr="00485D9D">
        <w:rPr>
          <w:rFonts w:ascii="Times New Roman" w:hAnsi="Times New Roman" w:cs="Times New Roman" w:hint="cs"/>
        </w:rPr>
        <w:t xml:space="preserve">₂ units, preserving the core </w:t>
      </w:r>
      <w:proofErr w:type="spellStart"/>
      <w:r w:rsidRPr="00485D9D">
        <w:rPr>
          <w:rFonts w:ascii="Times New Roman" w:hAnsi="Times New Roman" w:cs="Times New Roman" w:hint="cs"/>
        </w:rPr>
        <w:t>FliF</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architecture (</w:t>
      </w:r>
      <w:proofErr w:type="spellStart"/>
      <w:r w:rsidRPr="00485D9D">
        <w:rPr>
          <w:rFonts w:ascii="Times New Roman" w:hAnsi="Times New Roman" w:cs="Times New Roman" w:hint="cs"/>
        </w:rPr>
        <w:t>Rieu</w:t>
      </w:r>
      <w:proofErr w:type="spellEnd"/>
      <w:r w:rsidRPr="00485D9D">
        <w:rPr>
          <w:rFonts w:ascii="Times New Roman" w:hAnsi="Times New Roman" w:cs="Times New Roman" w:hint="cs"/>
        </w:rPr>
        <w:t xml:space="preserve"> et al., 2022).</w:t>
      </w:r>
    </w:p>
    <w:p w:rsidR="00ED777B" w:rsidRPr="00485D9D" w:rsidRDefault="00ED777B" w:rsidP="00E4450E">
      <w:pPr>
        <w:spacing w:line="360" w:lineRule="auto"/>
        <w:rPr>
          <w:rFonts w:ascii="Times New Roman" w:hAnsi="Times New Roman" w:cs="Times New Roman"/>
        </w:rPr>
      </w:pPr>
      <w:r w:rsidRPr="00485D9D">
        <w:rPr>
          <w:rFonts w:ascii="Times New Roman" w:hAnsi="Times New Roman" w:cs="Times New Roman" w:hint="cs"/>
        </w:rPr>
        <w:t>Despite divergent roles, their structural homology suggests an ancient evolutionary link. Comparative analyses reveal conserved α-helical folds in their cytosolic domains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hinting at a shared ancestral protein.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directly generates rotational torque, while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mediates Mg²⁺ uptake critical for cellular homeostasis and flagellar assembly. </w:t>
      </w:r>
    </w:p>
    <w:p w:rsidR="00DF4947" w:rsidRPr="00485D9D" w:rsidRDefault="00DF4947" w:rsidP="00E4450E">
      <w:pPr>
        <w:spacing w:line="360" w:lineRule="auto"/>
        <w:rPr>
          <w:rFonts w:ascii="Times New Roman" w:hAnsi="Times New Roman" w:cs="Times New Roman"/>
        </w:rPr>
      </w:pPr>
    </w:p>
    <w:p w:rsidR="00DF4947" w:rsidRPr="00485D9D" w:rsidRDefault="00DF4947" w:rsidP="00E4450E">
      <w:pPr>
        <w:spacing w:line="360" w:lineRule="auto"/>
        <w:rPr>
          <w:rFonts w:ascii="Times New Roman" w:hAnsi="Times New Roman" w:cs="Times New Roman"/>
        </w:rPr>
      </w:pPr>
    </w:p>
    <w:p w:rsidR="00DF4947" w:rsidRDefault="00DF4947" w:rsidP="00E4450E">
      <w:pPr>
        <w:spacing w:line="360" w:lineRule="auto"/>
        <w:rPr>
          <w:rFonts w:ascii="Times New Roman" w:hAnsi="Times New Roman" w:cs="Times New Roman"/>
          <w:b/>
          <w:bCs/>
          <w:u w:val="single"/>
        </w:rPr>
      </w:pPr>
      <w:r w:rsidRPr="00E4450E">
        <w:rPr>
          <w:rFonts w:ascii="Times New Roman" w:hAnsi="Times New Roman" w:cs="Times New Roman" w:hint="cs"/>
          <w:b/>
          <w:bCs/>
          <w:u w:val="single"/>
        </w:rPr>
        <w:t xml:space="preserve">Supplementary information for </w:t>
      </w:r>
      <w:proofErr w:type="spellStart"/>
      <w:r w:rsidRPr="00E4450E">
        <w:rPr>
          <w:rFonts w:ascii="Times New Roman" w:hAnsi="Times New Roman" w:cs="Times New Roman" w:hint="cs"/>
          <w:b/>
          <w:bCs/>
          <w:u w:val="single"/>
        </w:rPr>
        <w:t>FliG</w:t>
      </w:r>
      <w:proofErr w:type="spellEnd"/>
    </w:p>
    <w:p w:rsidR="00E4450E" w:rsidRPr="00E4450E" w:rsidRDefault="00E4450E" w:rsidP="00E4450E">
      <w:pPr>
        <w:spacing w:line="360" w:lineRule="auto"/>
        <w:rPr>
          <w:rFonts w:ascii="Times New Roman" w:hAnsi="Times New Roman" w:cs="Times New Roman"/>
          <w:b/>
          <w:bCs/>
          <w:u w:val="single"/>
        </w:rPr>
      </w:pPr>
    </w:p>
    <w:p w:rsidR="00DF4947" w:rsidRPr="00E4450E" w:rsidRDefault="00DF4947" w:rsidP="00E4450E">
      <w:pPr>
        <w:spacing w:line="360" w:lineRule="auto"/>
        <w:rPr>
          <w:rFonts w:ascii="Times New Roman" w:hAnsi="Times New Roman" w:cs="Times New Roman"/>
          <w:u w:val="single"/>
        </w:rPr>
      </w:pPr>
      <w:r w:rsidRPr="00E4450E">
        <w:rPr>
          <w:rFonts w:ascii="Times New Roman" w:hAnsi="Times New Roman" w:cs="Times New Roman" w:hint="cs"/>
          <w:u w:val="single"/>
        </w:rPr>
        <w:t>Conformational Cycling and Directional Switching</w:t>
      </w:r>
    </w:p>
    <w:p w:rsidR="00DF4947" w:rsidRPr="00485D9D" w:rsidRDefault="00DF4947" w:rsidP="00E4450E">
      <w:pPr>
        <w:spacing w:line="360" w:lineRule="auto"/>
        <w:rPr>
          <w:rFonts w:ascii="Times New Roman" w:hAnsi="Times New Roman" w:cs="Times New Roman"/>
        </w:rPr>
      </w:pPr>
      <w:r w:rsidRPr="00485D9D">
        <w:rPr>
          <w:rFonts w:ascii="Times New Roman" w:hAnsi="Times New Roman" w:cs="Times New Roman" w:hint="cs"/>
        </w:rPr>
        <w:t xml:space="preserve">Directional switching is achieved through rapid allosteric remodeling of the C-ring triggered by chemotactic signals. Binding of phosphorylated </w:t>
      </w:r>
      <w:proofErr w:type="spellStart"/>
      <w:r w:rsidRPr="00485D9D">
        <w:rPr>
          <w:rFonts w:ascii="Times New Roman" w:hAnsi="Times New Roman" w:cs="Times New Roman" w:hint="cs"/>
        </w:rPr>
        <w:t>CheY</w:t>
      </w:r>
      <w:proofErr w:type="spellEnd"/>
      <w:r w:rsidRPr="00485D9D">
        <w:rPr>
          <w:rFonts w:ascii="Times New Roman" w:hAnsi="Times New Roman" w:cs="Times New Roman" w:hint="cs"/>
        </w:rPr>
        <w:t xml:space="preserve"> to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induces a pronounced expansion of the cylindrical C-ring and outward tilting of the torque helix, thereby inverting its electrostatic contacts with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and reversing rotational bias (Chang et al., 2020; Sarkar et al., 2010). Cryo-electron tomography and </w:t>
      </w:r>
      <w:proofErr w:type="spellStart"/>
      <w:r w:rsidRPr="00485D9D">
        <w:rPr>
          <w:rFonts w:ascii="Times New Roman" w:hAnsi="Times New Roman" w:cs="Times New Roman" w:hint="cs"/>
        </w:rPr>
        <w:t>subtomogram</w:t>
      </w:r>
      <w:proofErr w:type="spellEnd"/>
      <w:r w:rsidRPr="00485D9D">
        <w:rPr>
          <w:rFonts w:ascii="Times New Roman" w:hAnsi="Times New Roman" w:cs="Times New Roman" w:hint="cs"/>
        </w:rPr>
        <w:t xml:space="preserve"> averaging indicate that these conformational changes occur on sub-millisecond timescales, enabling swift motor reversals essential for chemotaxis (Johnson et al., 2024). Mutational studies further confirm that stabilizing hinge conformations in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locks the motor in a single rotational state, underscoring the mechanical basis of directional control (Guo &amp; Liu, 2022). This mechanism highlights how dynamic remodeling of the amphipathic helix and C-ring architecture integrates chemotactic inputs to mediate bidirectional switching with high temporal precision (</w:t>
      </w:r>
      <w:proofErr w:type="spellStart"/>
      <w:r w:rsidRPr="00485D9D">
        <w:rPr>
          <w:rFonts w:ascii="Times New Roman" w:hAnsi="Times New Roman" w:cs="Times New Roman" w:hint="cs"/>
        </w:rPr>
        <w:t>Minamino</w:t>
      </w:r>
      <w:proofErr w:type="spellEnd"/>
      <w:r w:rsidRPr="00485D9D">
        <w:rPr>
          <w:rFonts w:ascii="Times New Roman" w:hAnsi="Times New Roman" w:cs="Times New Roman" w:hint="cs"/>
        </w:rPr>
        <w:t xml:space="preserve"> &amp; </w:t>
      </w:r>
      <w:proofErr w:type="spellStart"/>
      <w:r w:rsidRPr="00485D9D">
        <w:rPr>
          <w:rFonts w:ascii="Times New Roman" w:hAnsi="Times New Roman" w:cs="Times New Roman" w:hint="cs"/>
        </w:rPr>
        <w:t>Imada</w:t>
      </w:r>
      <w:proofErr w:type="spellEnd"/>
      <w:r w:rsidRPr="00485D9D">
        <w:rPr>
          <w:rFonts w:ascii="Times New Roman" w:hAnsi="Times New Roman" w:cs="Times New Roman" w:hint="cs"/>
        </w:rPr>
        <w:t>, 2015).</w:t>
      </w:r>
    </w:p>
    <w:p w:rsidR="00DF4947" w:rsidRPr="00485D9D" w:rsidRDefault="00DF4947" w:rsidP="00E4450E">
      <w:pPr>
        <w:spacing w:line="360" w:lineRule="auto"/>
        <w:rPr>
          <w:rFonts w:ascii="Times New Roman" w:hAnsi="Times New Roman" w:cs="Times New Roman"/>
        </w:rPr>
      </w:pPr>
    </w:p>
    <w:p w:rsidR="00DF4947" w:rsidRPr="004D6FCB" w:rsidRDefault="00DF4947" w:rsidP="00E4450E">
      <w:pPr>
        <w:spacing w:line="360" w:lineRule="auto"/>
        <w:rPr>
          <w:rFonts w:ascii="Times New Roman" w:hAnsi="Times New Roman" w:cs="Times New Roman"/>
          <w:u w:val="single"/>
        </w:rPr>
      </w:pPr>
      <w:r w:rsidRPr="004D6FCB">
        <w:rPr>
          <w:rFonts w:ascii="Times New Roman" w:hAnsi="Times New Roman" w:cs="Times New Roman" w:hint="cs"/>
          <w:u w:val="single"/>
        </w:rPr>
        <w:t xml:space="preserve">Evolutionary Adaptations for High-Torque Systems </w:t>
      </w:r>
    </w:p>
    <w:p w:rsidR="00DF4947" w:rsidRPr="00485D9D" w:rsidRDefault="00DF4947" w:rsidP="00E4450E">
      <w:pPr>
        <w:spacing w:line="360" w:lineRule="auto"/>
        <w:rPr>
          <w:rFonts w:ascii="Times New Roman" w:hAnsi="Times New Roman" w:cs="Times New Roman"/>
        </w:rPr>
      </w:pPr>
      <w:proofErr w:type="spellStart"/>
      <w:r w:rsidRPr="00485D9D">
        <w:rPr>
          <w:rFonts w:ascii="Times New Roman" w:hAnsi="Times New Roman" w:cs="Times New Roman" w:hint="cs"/>
        </w:rPr>
        <w:t>FliG's</w:t>
      </w:r>
      <w:proofErr w:type="spellEnd"/>
      <w:r w:rsidRPr="00485D9D">
        <w:rPr>
          <w:rFonts w:ascii="Times New Roman" w:hAnsi="Times New Roman" w:cs="Times New Roman" w:hint="cs"/>
        </w:rPr>
        <w:t xml:space="preserve"> modular domain architecture is readily re-tuned to meet species-specific biomechanical demands. Cryo-EM analysis of the thermophile </w:t>
      </w:r>
      <w:proofErr w:type="spellStart"/>
      <w:r w:rsidRPr="00485D9D">
        <w:rPr>
          <w:rFonts w:ascii="Times New Roman" w:hAnsi="Times New Roman" w:cs="Times New Roman" w:hint="cs"/>
        </w:rPr>
        <w:t>Paenibacillus</w:t>
      </w:r>
      <w:proofErr w:type="spellEnd"/>
      <w:r w:rsidRPr="00485D9D">
        <w:rPr>
          <w:rFonts w:ascii="Times New Roman" w:hAnsi="Times New Roman" w:cs="Times New Roman" w:hint="cs"/>
        </w:rPr>
        <w:t xml:space="preserve"> sp. TCA20 resolves a 45-subunit C-ring whose radially expanded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-M barrel increases the lever arm radius by ~40%, directly amplifying torque output (</w:t>
      </w:r>
      <w:proofErr w:type="spellStart"/>
      <w:r w:rsidRPr="00485D9D">
        <w:rPr>
          <w:rFonts w:ascii="Times New Roman" w:hAnsi="Times New Roman" w:cs="Times New Roman" w:hint="cs"/>
        </w:rPr>
        <w:t>Onoe</w:t>
      </w:r>
      <w:proofErr w:type="spellEnd"/>
      <w:r w:rsidRPr="00485D9D">
        <w:rPr>
          <w:rFonts w:ascii="Times New Roman" w:hAnsi="Times New Roman" w:cs="Times New Roman" w:hint="cs"/>
        </w:rPr>
        <w:t xml:space="preserve"> et al., 2025). Parallel adaptations in Campylobacter </w:t>
      </w:r>
      <w:proofErr w:type="spellStart"/>
      <w:r w:rsidRPr="00485D9D">
        <w:rPr>
          <w:rFonts w:ascii="Times New Roman" w:hAnsi="Times New Roman" w:cs="Times New Roman" w:hint="cs"/>
        </w:rPr>
        <w:t>jejuni</w:t>
      </w:r>
      <w:proofErr w:type="spellEnd"/>
      <w:r w:rsidRPr="00485D9D">
        <w:rPr>
          <w:rFonts w:ascii="Times New Roman" w:hAnsi="Times New Roman" w:cs="Times New Roman" w:hint="cs"/>
        </w:rPr>
        <w:t xml:space="preserve"> include charge-reinforcing substitutions at the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-C-</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interface (e.g., Arg281→Lys in torque helix) and a widened periplasmic scaffold that templates a broader stator ring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w:t>
      </w:r>
      <w:r w:rsidRPr="00485D9D">
        <w:rPr>
          <w:rFonts w:ascii="Times New Roman" w:hAnsi="Times New Roman" w:cs="Times New Roman" w:hint="cs"/>
        </w:rPr>
        <w:lastRenderedPageBreak/>
        <w:t xml:space="preserve">al., 2020). Earlier cryo-electron tomography across ε-proteobacteria confirmed that such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ring expansions are accompanied by proportionally denser stator belts (13–17 </w:t>
      </w:r>
      <w:proofErr w:type="spellStart"/>
      <w:r w:rsidRPr="00485D9D">
        <w:rPr>
          <w:rFonts w:ascii="Times New Roman" w:hAnsi="Times New Roman" w:cs="Times New Roman" w:hint="cs"/>
        </w:rPr>
        <w:t>MotA₅MotB</w:t>
      </w:r>
      <w:proofErr w:type="spellEnd"/>
      <w:r w:rsidRPr="00485D9D">
        <w:rPr>
          <w:rFonts w:ascii="Times New Roman" w:hAnsi="Times New Roman" w:cs="Times New Roman" w:hint="cs"/>
        </w:rPr>
        <w:t>₂ units vs. 8–11 in E. coli), providing additional torque transfer points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2016). Critically, these lineage-specific optimizations occur while preserving the ancestral </w:t>
      </w:r>
      <w:proofErr w:type="spellStart"/>
      <w:r w:rsidRPr="00485D9D">
        <w:rPr>
          <w:rFonts w:ascii="Times New Roman" w:hAnsi="Times New Roman" w:cs="Times New Roman" w:hint="cs"/>
        </w:rPr>
        <w:t>FliF</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-N anchor, highlighting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as an evolvable torque amplifier within a universally conserved structural framework (Johnson et al., 2024).</w:t>
      </w:r>
    </w:p>
    <w:p w:rsidR="00DF4947" w:rsidRPr="00485D9D" w:rsidRDefault="00DF4947" w:rsidP="00E4450E">
      <w:pPr>
        <w:spacing w:line="360" w:lineRule="auto"/>
        <w:rPr>
          <w:rFonts w:ascii="Times New Roman" w:hAnsi="Times New Roman" w:cs="Times New Roman"/>
        </w:rPr>
      </w:pPr>
    </w:p>
    <w:p w:rsidR="004F5E42" w:rsidRDefault="00DF4947" w:rsidP="00E4450E">
      <w:pPr>
        <w:spacing w:line="360" w:lineRule="auto"/>
        <w:rPr>
          <w:rFonts w:ascii="Times New Roman" w:hAnsi="Times New Roman" w:cs="Times New Roman"/>
          <w:b/>
          <w:bCs/>
          <w:u w:val="single"/>
        </w:rPr>
      </w:pPr>
      <w:r w:rsidRPr="00E4450E">
        <w:rPr>
          <w:rFonts w:ascii="Times New Roman" w:hAnsi="Times New Roman" w:cs="Times New Roman" w:hint="cs"/>
          <w:b/>
          <w:bCs/>
          <w:u w:val="single"/>
        </w:rPr>
        <w:t xml:space="preserve">Supplementary information on </w:t>
      </w:r>
      <w:proofErr w:type="spellStart"/>
      <w:r w:rsidRPr="00E4450E">
        <w:rPr>
          <w:rFonts w:ascii="Times New Roman" w:hAnsi="Times New Roman" w:cs="Times New Roman" w:hint="cs"/>
          <w:b/>
          <w:bCs/>
          <w:u w:val="single"/>
        </w:rPr>
        <w:t>MgtE</w:t>
      </w:r>
      <w:proofErr w:type="spellEnd"/>
    </w:p>
    <w:p w:rsidR="00FA4903" w:rsidRPr="00FA4903" w:rsidRDefault="00FA4903" w:rsidP="00E4450E">
      <w:pPr>
        <w:spacing w:line="360" w:lineRule="auto"/>
        <w:rPr>
          <w:rFonts w:ascii="Times New Roman" w:hAnsi="Times New Roman" w:cs="Times New Roman"/>
          <w:b/>
          <w:bCs/>
          <w:u w:val="single"/>
        </w:rPr>
      </w:pPr>
    </w:p>
    <w:p w:rsidR="004F5E42" w:rsidRPr="004D6FCB" w:rsidRDefault="004F5E42" w:rsidP="00E4450E">
      <w:pPr>
        <w:spacing w:line="360" w:lineRule="auto"/>
        <w:rPr>
          <w:rFonts w:ascii="Times New Roman" w:hAnsi="Times New Roman" w:cs="Times New Roman"/>
          <w:u w:val="single"/>
        </w:rPr>
      </w:pPr>
      <w:r w:rsidRPr="004D6FCB">
        <w:rPr>
          <w:rFonts w:ascii="Times New Roman" w:hAnsi="Times New Roman" w:cs="Times New Roman" w:hint="cs"/>
          <w:u w:val="single"/>
        </w:rPr>
        <w:t>Roles in cellular magnesium homeostasis</w:t>
      </w:r>
    </w:p>
    <w:p w:rsidR="004F5E42" w:rsidRPr="00485D9D" w:rsidRDefault="004F5E42" w:rsidP="00E4450E">
      <w:pPr>
        <w:spacing w:line="360" w:lineRule="auto"/>
        <w:rPr>
          <w:rFonts w:ascii="Times New Roman" w:hAnsi="Times New Roman" w:cs="Times New Roman"/>
        </w:rPr>
      </w:pPr>
      <w:r w:rsidRPr="00485D9D">
        <w:rPr>
          <w:rFonts w:ascii="Times New Roman" w:hAnsi="Times New Roman" w:cs="Times New Roman" w:hint="cs"/>
        </w:rPr>
        <w:t xml:space="preserve">Intracellular magnesium (Mg²⁺) concentrations are tightly regulated within a physiological range (0.5–2 mM) to sustain essential processes such as ATP hydrolysis, ribosomal function, and nucleic acid stability. The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protein is central to this homeostasis, functioning as a Mg²⁺-selective channel, not a transporter or ATPase that gates open during intracellular Mg²⁺ depletion and closes upon repletion. This rapid, direct Mg²-sensing mechanism establishes a negative feedback loop for ionic control (Hattori et al., 2009). Structural studies reveal that Mg²⁺ binding at cytosolic sites (including an N-terminal ARM fold and tandem CBS domains) locks connecting helices, stabilizing a closed conformation and occluding the pore. Conversely, low Mg²⁺ disassembles these interdomain bridges, enabling pore opening for Mg²⁺ influx (Hattori et al., 2007, 2009). This allosteric gating ensures specificity for Mg²⁺ over similar divalent cations (e.g., Ni²⁺, Co²⁺).</w:t>
      </w:r>
    </w:p>
    <w:p w:rsidR="004F5E42" w:rsidRPr="00485D9D" w:rsidRDefault="004F5E42" w:rsidP="00E4450E">
      <w:pPr>
        <w:spacing w:line="360" w:lineRule="auto"/>
        <w:rPr>
          <w:rFonts w:ascii="Times New Roman" w:hAnsi="Times New Roman" w:cs="Times New Roman"/>
        </w:rPr>
      </w:pPr>
      <w:r w:rsidRPr="00485D9D">
        <w:rPr>
          <w:rFonts w:ascii="Times New Roman" w:hAnsi="Times New Roman" w:cs="Times New Roman" w:hint="cs"/>
        </w:rPr>
        <w:t xml:space="preserve">Transcriptional regulation further refines Mg²⁺ homeostasis. In Bacillus subtilis, the Mg²⁺-Mg²-responsive M-box riboswitch suppresses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mRNA expression when cytosolic Mg²⁺ exceeds ~1.5 </w:t>
      </w:r>
      <w:proofErr w:type="spellStart"/>
      <w:r w:rsidRPr="00485D9D">
        <w:rPr>
          <w:rFonts w:ascii="Times New Roman" w:hAnsi="Times New Roman" w:cs="Times New Roman" w:hint="cs"/>
        </w:rPr>
        <w:t>mM.</w:t>
      </w:r>
      <w:proofErr w:type="spellEnd"/>
      <w:r w:rsidRPr="00485D9D">
        <w:rPr>
          <w:rFonts w:ascii="Times New Roman" w:hAnsi="Times New Roman" w:cs="Times New Roman" w:hint="cs"/>
        </w:rPr>
        <w:t xml:space="preserve"> This dual-layer control fast channel gating and slower transcriptional modulation optimizes (</w:t>
      </w:r>
      <w:proofErr w:type="spellStart"/>
      <w:r w:rsidRPr="00485D9D">
        <w:rPr>
          <w:rFonts w:ascii="Times New Roman" w:hAnsi="Times New Roman" w:cs="Times New Roman" w:hint="cs"/>
        </w:rPr>
        <w:t>Moomaw</w:t>
      </w:r>
      <w:proofErr w:type="spellEnd"/>
      <w:r w:rsidRPr="00485D9D">
        <w:rPr>
          <w:rFonts w:ascii="Times New Roman" w:hAnsi="Times New Roman" w:cs="Times New Roman" w:hint="cs"/>
        </w:rPr>
        <w:t xml:space="preserve"> &amp; Maguire, 2008)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abundance and activity to cellular Mg²⁺ demands. Phenotypic evidence confirms </w:t>
      </w:r>
      <w:proofErr w:type="spellStart"/>
      <w:r w:rsidRPr="00485D9D">
        <w:rPr>
          <w:rFonts w:ascii="Times New Roman" w:hAnsi="Times New Roman" w:cs="Times New Roman" w:hint="cs"/>
        </w:rPr>
        <w:t>MgtE’s</w:t>
      </w:r>
      <w:proofErr w:type="spellEnd"/>
      <w:r w:rsidRPr="00485D9D">
        <w:rPr>
          <w:rFonts w:ascii="Times New Roman" w:hAnsi="Times New Roman" w:cs="Times New Roman" w:hint="cs"/>
        </w:rPr>
        <w:t xml:space="preserve"> physiological necessity, B. subtilis and E. coli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mutants exhibit biphasic growth defects, showing hypersensitivity below 0.1 mM Mg²⁺ and toxic accumulation (&gt;10 mM) in Mg²⁺-rich environments (&gt;100 mM), reflecting impaired uptake/efflux coordination (</w:t>
      </w:r>
      <w:proofErr w:type="spellStart"/>
      <w:r w:rsidRPr="00485D9D">
        <w:rPr>
          <w:rFonts w:ascii="Times New Roman" w:hAnsi="Times New Roman" w:cs="Times New Roman" w:hint="cs"/>
        </w:rPr>
        <w:t>Moomaw</w:t>
      </w:r>
      <w:proofErr w:type="spellEnd"/>
      <w:r w:rsidRPr="00485D9D">
        <w:rPr>
          <w:rFonts w:ascii="Times New Roman" w:hAnsi="Times New Roman" w:cs="Times New Roman" w:hint="cs"/>
        </w:rPr>
        <w:t xml:space="preserve"> &amp; Maguire, 2008).</w:t>
      </w:r>
    </w:p>
    <w:p w:rsidR="004F5E42" w:rsidRPr="00485D9D" w:rsidRDefault="004F5E42" w:rsidP="00E4450E">
      <w:pPr>
        <w:spacing w:line="360" w:lineRule="auto"/>
        <w:rPr>
          <w:rFonts w:ascii="Times New Roman" w:hAnsi="Times New Roman" w:cs="Times New Roman"/>
        </w:rPr>
      </w:pPr>
      <w:r w:rsidRPr="00485D9D">
        <w:rPr>
          <w:rFonts w:ascii="Times New Roman" w:hAnsi="Times New Roman" w:cs="Times New Roman" w:hint="cs"/>
        </w:rPr>
        <w:t xml:space="preserve">Evolutionarily conserved across domains, mammalian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homologs (SLC41 family) retain core transport functions despite structural divergence. SLC41A1, the best-characterized member, </w:t>
      </w:r>
      <w:r w:rsidRPr="00485D9D">
        <w:rPr>
          <w:rFonts w:ascii="Times New Roman" w:hAnsi="Times New Roman" w:cs="Times New Roman" w:hint="cs"/>
        </w:rPr>
        <w:lastRenderedPageBreak/>
        <w:t xml:space="preserve">shares membrane topology with bacterial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but lacks its cytosolic Mg²⁺-sensing domains (</w:t>
      </w:r>
      <w:proofErr w:type="spellStart"/>
      <w:r w:rsidRPr="00485D9D">
        <w:rPr>
          <w:rFonts w:ascii="Times New Roman" w:hAnsi="Times New Roman" w:cs="Times New Roman" w:hint="cs"/>
        </w:rPr>
        <w:t>Kolisek</w:t>
      </w:r>
      <w:proofErr w:type="spellEnd"/>
      <w:r w:rsidRPr="00485D9D">
        <w:rPr>
          <w:rFonts w:ascii="Times New Roman" w:hAnsi="Times New Roman" w:cs="Times New Roman" w:hint="cs"/>
        </w:rPr>
        <w:t xml:space="preserve"> et al., 2008). While it rescues Mg²⁺ uptake in transporter-deficient Salmonella, SLC41A1 primarily mediates Mg²⁺ efflux in mammalian cells, indicating functional adaptation. Its expression is upregulated in the kidney, heart, and colon during dietary Mg²⁺ deficiency, confirming conserved homeostatic roles (</w:t>
      </w:r>
      <w:proofErr w:type="spellStart"/>
      <w:r w:rsidRPr="00485D9D">
        <w:rPr>
          <w:rFonts w:ascii="Times New Roman" w:hAnsi="Times New Roman" w:cs="Times New Roman" w:hint="cs"/>
        </w:rPr>
        <w:t>Kolisek</w:t>
      </w:r>
      <w:proofErr w:type="spellEnd"/>
      <w:r w:rsidRPr="00485D9D">
        <w:rPr>
          <w:rFonts w:ascii="Times New Roman" w:hAnsi="Times New Roman" w:cs="Times New Roman" w:hint="cs"/>
        </w:rPr>
        <w:t xml:space="preserve"> et al., 2008).</w:t>
      </w:r>
    </w:p>
    <w:p w:rsidR="004F5E42" w:rsidRPr="004D6FCB" w:rsidRDefault="004F5E42" w:rsidP="00E4450E">
      <w:pPr>
        <w:spacing w:line="360" w:lineRule="auto"/>
        <w:rPr>
          <w:rFonts w:ascii="Times New Roman" w:hAnsi="Times New Roman" w:cs="Times New Roman"/>
          <w:u w:val="single"/>
        </w:rPr>
      </w:pPr>
    </w:p>
    <w:p w:rsidR="0053113E" w:rsidRPr="004D6FCB" w:rsidRDefault="0053113E" w:rsidP="00E4450E">
      <w:pPr>
        <w:spacing w:line="360" w:lineRule="auto"/>
        <w:rPr>
          <w:rFonts w:ascii="Times New Roman" w:hAnsi="Times New Roman" w:cs="Times New Roman"/>
          <w:u w:val="single"/>
        </w:rPr>
      </w:pPr>
      <w:r w:rsidRPr="004D6FCB">
        <w:rPr>
          <w:rFonts w:ascii="Times New Roman" w:hAnsi="Times New Roman" w:cs="Times New Roman" w:hint="cs"/>
          <w:u w:val="single"/>
        </w:rPr>
        <w:t>Significance for molecular evolution</w:t>
      </w:r>
    </w:p>
    <w:p w:rsidR="0053113E" w:rsidRPr="00485D9D" w:rsidRDefault="0053113E" w:rsidP="00E4450E">
      <w:pPr>
        <w:spacing w:line="360" w:lineRule="auto"/>
        <w:rPr>
          <w:rFonts w:ascii="Times New Roman" w:hAnsi="Times New Roman" w:cs="Times New Roman"/>
        </w:rPr>
      </w:pPr>
      <w:r w:rsidRPr="00485D9D">
        <w:rPr>
          <w:rFonts w:ascii="Times New Roman" w:hAnsi="Times New Roman" w:cs="Times New Roman" w:hint="cs"/>
        </w:rPr>
        <w:t xml:space="preserve">The relationship between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and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is an example of modular protein evolution and exaptation. It exemplifies how complex molecular machines can evolve from scratch by repurposing existing structural elements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Frenkel &amp; Rodriguez, 1982). In this case, the ARM-repeat domain of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likely served as an ancestral template. Through duplication and loss of membrane-spanning or ion-binding functions, this domain was co-opted into a new mechanical role within the flagellar motor, giving rise to the modern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protein (Snyder et al., 2009).</w:t>
      </w:r>
    </w:p>
    <w:p w:rsidR="0053113E" w:rsidRPr="00485D9D" w:rsidRDefault="0053113E" w:rsidP="00E4450E">
      <w:pPr>
        <w:spacing w:line="360" w:lineRule="auto"/>
        <w:rPr>
          <w:rFonts w:ascii="Times New Roman" w:hAnsi="Times New Roman" w:cs="Times New Roman"/>
        </w:rPr>
      </w:pPr>
      <w:r w:rsidRPr="00485D9D">
        <w:rPr>
          <w:rFonts w:ascii="Times New Roman" w:hAnsi="Times New Roman" w:cs="Times New Roman" w:hint="cs"/>
        </w:rPr>
        <w:t>This structural repurposing, or tinkering, is consistent with the modular logic of molecular evolution, where domains are fused, lost, or reconfigured to meet new functional demands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The evolution of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from a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-like ancestor also directly counters arguments of “irreducible complexity” often invoked to challenge the evolutionary origin of flagella (Blair &amp; Hughes, 2012). </w:t>
      </w:r>
      <w:proofErr w:type="spellStart"/>
      <w:r w:rsidRPr="00485D9D">
        <w:rPr>
          <w:rFonts w:ascii="Times New Roman" w:hAnsi="Times New Roman" w:cs="Times New Roman" w:hint="cs"/>
        </w:rPr>
        <w:t>FliG’s</w:t>
      </w:r>
      <w:proofErr w:type="spellEnd"/>
      <w:r w:rsidRPr="00485D9D">
        <w:rPr>
          <w:rFonts w:ascii="Times New Roman" w:hAnsi="Times New Roman" w:cs="Times New Roman" w:hint="cs"/>
        </w:rPr>
        <w:t xml:space="preserve"> homolog in a functionally unrelated transporter demonstrates that the flagellar motor’s core components could have evolved by gradually modifying pre-existing parts.</w:t>
      </w:r>
    </w:p>
    <w:p w:rsidR="004F5E42" w:rsidRPr="00485D9D" w:rsidRDefault="004F5E42" w:rsidP="00E4450E">
      <w:pPr>
        <w:spacing w:line="360" w:lineRule="auto"/>
        <w:rPr>
          <w:rFonts w:ascii="Times New Roman" w:hAnsi="Times New Roman" w:cs="Times New Roman"/>
        </w:rPr>
      </w:pPr>
    </w:p>
    <w:p w:rsidR="004F5E42" w:rsidRPr="004D6FCB" w:rsidRDefault="004F5E42" w:rsidP="00E4450E">
      <w:pPr>
        <w:spacing w:line="360" w:lineRule="auto"/>
        <w:rPr>
          <w:rFonts w:ascii="Times New Roman" w:hAnsi="Times New Roman" w:cs="Times New Roman"/>
          <w:u w:val="single"/>
        </w:rPr>
      </w:pPr>
    </w:p>
    <w:p w:rsidR="004F5E42" w:rsidRPr="004D6FCB" w:rsidRDefault="004F5E42" w:rsidP="00E4450E">
      <w:pPr>
        <w:spacing w:line="360" w:lineRule="auto"/>
        <w:rPr>
          <w:rFonts w:ascii="Times New Roman" w:hAnsi="Times New Roman" w:cs="Times New Roman"/>
          <w:u w:val="single"/>
        </w:rPr>
      </w:pPr>
      <w:r w:rsidRPr="004D6FCB">
        <w:rPr>
          <w:rFonts w:ascii="Times New Roman" w:hAnsi="Times New Roman" w:cs="Times New Roman" w:hint="cs"/>
          <w:u w:val="single"/>
        </w:rPr>
        <w:t>Orthologs, Paralogs, and Evolutionary Specialization</w:t>
      </w:r>
    </w:p>
    <w:p w:rsidR="004F5E42" w:rsidRPr="00485D9D" w:rsidRDefault="004F5E42" w:rsidP="00E4450E">
      <w:pPr>
        <w:spacing w:line="360" w:lineRule="auto"/>
        <w:rPr>
          <w:rFonts w:ascii="Times New Roman" w:hAnsi="Times New Roman" w:cs="Times New Roman"/>
        </w:rPr>
      </w:pPr>
      <w:r w:rsidRPr="00485D9D">
        <w:rPr>
          <w:rFonts w:ascii="Times New Roman" w:hAnsi="Times New Roman" w:cs="Times New Roman" w:hint="cs"/>
        </w:rPr>
        <w:t>Molecular evolution distinguishes between orthologs (genes diverging after speciation that typically retain ancestral functions) and paralogs (genes diverging after duplication within a genome that often undergo functional divergence) (</w:t>
      </w:r>
      <w:proofErr w:type="spellStart"/>
      <w:r w:rsidRPr="00485D9D">
        <w:rPr>
          <w:rFonts w:ascii="Times New Roman" w:hAnsi="Times New Roman" w:cs="Times New Roman" w:hint="cs"/>
        </w:rPr>
        <w:t>Koonin</w:t>
      </w:r>
      <w:proofErr w:type="spellEnd"/>
      <w:r w:rsidRPr="00485D9D">
        <w:rPr>
          <w:rFonts w:ascii="Times New Roman" w:hAnsi="Times New Roman" w:cs="Times New Roman" w:hint="cs"/>
        </w:rPr>
        <w:t xml:space="preserve">, 2005). The flagellar C-ring exemplifies paralog-driven complexity.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and </w:t>
      </w:r>
      <w:proofErr w:type="spellStart"/>
      <w:r w:rsidRPr="00485D9D">
        <w:rPr>
          <w:rFonts w:ascii="Times New Roman" w:hAnsi="Times New Roman" w:cs="Times New Roman" w:hint="cs"/>
        </w:rPr>
        <w:t>FliN</w:t>
      </w:r>
      <w:proofErr w:type="spellEnd"/>
      <w:r w:rsidRPr="00485D9D">
        <w:rPr>
          <w:rFonts w:ascii="Times New Roman" w:hAnsi="Times New Roman" w:cs="Times New Roman" w:hint="cs"/>
        </w:rPr>
        <w:t xml:space="preserve"> have established paralogs arising from domain shuffling events. Phylogenetic and structural evidence indicates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emerged through the fusion of an ancestral </w:t>
      </w:r>
      <w:proofErr w:type="spellStart"/>
      <w:r w:rsidRPr="00485D9D">
        <w:rPr>
          <w:rFonts w:ascii="Times New Roman" w:hAnsi="Times New Roman" w:cs="Times New Roman" w:hint="cs"/>
        </w:rPr>
        <w:t>CheC</w:t>
      </w:r>
      <w:proofErr w:type="spellEnd"/>
      <w:r w:rsidRPr="00485D9D">
        <w:rPr>
          <w:rFonts w:ascii="Times New Roman" w:hAnsi="Times New Roman" w:cs="Times New Roman" w:hint="cs"/>
        </w:rPr>
        <w:t xml:space="preserve">-like phosphatase domain with a </w:t>
      </w:r>
      <w:proofErr w:type="spellStart"/>
      <w:r w:rsidRPr="00485D9D">
        <w:rPr>
          <w:rFonts w:ascii="Times New Roman" w:hAnsi="Times New Roman" w:cs="Times New Roman" w:hint="cs"/>
        </w:rPr>
        <w:t>FliN</w:t>
      </w:r>
      <w:proofErr w:type="spellEnd"/>
      <w:r w:rsidRPr="00485D9D">
        <w:rPr>
          <w:rFonts w:ascii="Times New Roman" w:hAnsi="Times New Roman" w:cs="Times New Roman" w:hint="cs"/>
        </w:rPr>
        <w:t xml:space="preserve">-type SPOA (surface </w:t>
      </w:r>
      <w:r w:rsidRPr="00485D9D">
        <w:rPr>
          <w:rFonts w:ascii="Times New Roman" w:hAnsi="Times New Roman" w:cs="Times New Roman" w:hint="cs"/>
        </w:rPr>
        <w:lastRenderedPageBreak/>
        <w:t>presentation of antigens) domain, incorporating into the flagellum after the bacterial root divergence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w:t>
      </w:r>
    </w:p>
    <w:p w:rsidR="004F5E42" w:rsidRPr="00485D9D" w:rsidRDefault="004F5E42" w:rsidP="00E4450E">
      <w:pPr>
        <w:spacing w:line="360" w:lineRule="auto"/>
        <w:rPr>
          <w:rFonts w:ascii="Times New Roman" w:hAnsi="Times New Roman" w:cs="Times New Roman"/>
        </w:rPr>
      </w:pPr>
      <w:r w:rsidRPr="00485D9D">
        <w:rPr>
          <w:rFonts w:ascii="Times New Roman" w:hAnsi="Times New Roman" w:cs="Times New Roman" w:hint="cs"/>
        </w:rPr>
        <w:t xml:space="preserve">In contrast,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represents a distinct evolutionary lineage sharing only deep homology with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through an ancient ARM-repeat ancestor, not </w:t>
      </w:r>
      <w:proofErr w:type="spellStart"/>
      <w:r w:rsidRPr="00485D9D">
        <w:rPr>
          <w:rFonts w:ascii="Times New Roman" w:hAnsi="Times New Roman" w:cs="Times New Roman" w:hint="cs"/>
        </w:rPr>
        <w:t>paralogy</w:t>
      </w:r>
      <w:proofErr w:type="spellEnd"/>
      <w:r w:rsidRPr="00485D9D">
        <w:rPr>
          <w:rFonts w:ascii="Times New Roman" w:hAnsi="Times New Roman" w:cs="Times New Roman" w:hint="cs"/>
        </w:rPr>
        <w:t xml:space="preserve"> with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/N (Lynch et al., 2017). This shared scaffold underwent radical functional specialization; for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evolutionary pressures optimized the ARM repeat for rotary torque transmission, using its </w:t>
      </w:r>
      <w:proofErr w:type="spellStart"/>
      <w:r w:rsidRPr="00485D9D">
        <w:rPr>
          <w:rFonts w:ascii="Times New Roman" w:hAnsi="Times New Roman" w:cs="Times New Roman" w:hint="cs"/>
        </w:rPr>
        <w:t>superhelical</w:t>
      </w:r>
      <w:proofErr w:type="spellEnd"/>
      <w:r w:rsidRPr="00485D9D">
        <w:rPr>
          <w:rFonts w:ascii="Times New Roman" w:hAnsi="Times New Roman" w:cs="Times New Roman" w:hint="cs"/>
        </w:rPr>
        <w:t xml:space="preserve"> geometry for stator coupling and bidirectional switching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In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the same fold was repurposed as a static Mg²⁺-sensing clamp, rigidifying to allosterically control pore occlusion via CBS domain engagement (</w:t>
      </w:r>
      <w:proofErr w:type="spellStart"/>
      <w:r w:rsidRPr="00485D9D">
        <w:rPr>
          <w:rFonts w:ascii="Times New Roman" w:hAnsi="Times New Roman" w:cs="Times New Roman" w:hint="cs"/>
        </w:rPr>
        <w:t>Jin</w:t>
      </w:r>
      <w:proofErr w:type="spellEnd"/>
      <w:r w:rsidRPr="00485D9D">
        <w:rPr>
          <w:rFonts w:ascii="Times New Roman" w:hAnsi="Times New Roman" w:cs="Times New Roman" w:hint="cs"/>
        </w:rPr>
        <w:t xml:space="preserve"> et al., 2021).</w:t>
      </w:r>
    </w:p>
    <w:p w:rsidR="004F5E42" w:rsidRDefault="004F5E42" w:rsidP="00E4450E">
      <w:pPr>
        <w:spacing w:line="360" w:lineRule="auto"/>
        <w:rPr>
          <w:rFonts w:ascii="Times New Roman" w:hAnsi="Times New Roman" w:cs="Times New Roman"/>
        </w:rPr>
      </w:pPr>
    </w:p>
    <w:p w:rsidR="00B751D5" w:rsidRDefault="00B751D5" w:rsidP="00DF4947">
      <w:pPr>
        <w:rPr>
          <w:rFonts w:ascii="Times New Roman" w:hAnsi="Times New Roman" w:cs="Times New Roman"/>
        </w:rPr>
      </w:pPr>
    </w:p>
    <w:p w:rsidR="00E4450E" w:rsidRDefault="00E4450E" w:rsidP="00DF4947">
      <w:pPr>
        <w:rPr>
          <w:rFonts w:ascii="Times New Roman" w:hAnsi="Times New Roman" w:cs="Times New Roman"/>
          <w:u w:val="single"/>
        </w:rPr>
      </w:pPr>
    </w:p>
    <w:p w:rsidR="00E4450E" w:rsidRDefault="00E4450E" w:rsidP="00DF4947">
      <w:pPr>
        <w:rPr>
          <w:rFonts w:ascii="Times New Roman" w:hAnsi="Times New Roman" w:cs="Times New Roman"/>
          <w:u w:val="single"/>
        </w:rPr>
      </w:pPr>
    </w:p>
    <w:p w:rsidR="00E4450E" w:rsidRDefault="00E4450E" w:rsidP="00DF4947">
      <w:pPr>
        <w:rPr>
          <w:rFonts w:ascii="Times New Roman" w:hAnsi="Times New Roman" w:cs="Times New Roman"/>
          <w:u w:val="single"/>
        </w:rPr>
      </w:pPr>
    </w:p>
    <w:p w:rsidR="00B751D5" w:rsidRPr="00E4450E" w:rsidRDefault="00B751D5" w:rsidP="00E4450E">
      <w:pPr>
        <w:jc w:val="center"/>
        <w:rPr>
          <w:rFonts w:ascii="Times New Roman" w:hAnsi="Times New Roman" w:cs="Times New Roman"/>
        </w:rPr>
      </w:pPr>
      <w:r w:rsidRPr="00E4450E">
        <w:rPr>
          <w:rFonts w:ascii="Times New Roman" w:hAnsi="Times New Roman" w:cs="Times New Roman"/>
        </w:rPr>
        <w:t>References to supplementary information</w:t>
      </w:r>
    </w:p>
    <w:p w:rsidR="00E4450E" w:rsidRDefault="00E4450E" w:rsidP="00DF4947">
      <w:pPr>
        <w:rPr>
          <w:rFonts w:ascii="Times New Roman" w:hAnsi="Times New Roman" w:cs="Times New Roman"/>
          <w:u w:val="single"/>
        </w:rPr>
      </w:pPr>
    </w:p>
    <w:p w:rsidR="00E4450E" w:rsidRPr="00E4450E" w:rsidRDefault="00E4450E" w:rsidP="00E4450E">
      <w:pPr>
        <w:pStyle w:val="Bibliography"/>
        <w:spacing w:line="360" w:lineRule="auto"/>
        <w:rPr>
          <w:rFonts w:ascii="Times New Roman" w:hAnsi="Times New Roman" w:cs="Times New Roman"/>
        </w:rPr>
      </w:pPr>
      <w:r>
        <w:rPr>
          <w:u w:val="single"/>
        </w:rPr>
        <w:fldChar w:fldCharType="begin"/>
      </w:r>
      <w:r>
        <w:rPr>
          <w:u w:val="single"/>
        </w:rPr>
        <w:instrText xml:space="preserve"> ADDIN ZOTERO_BIBL {"uncited":[],"omitted":[],"custom":[]} CSL_BIBLIOGRAPHY </w:instrText>
      </w:r>
      <w:r>
        <w:rPr>
          <w:u w:val="single"/>
        </w:rPr>
        <w:fldChar w:fldCharType="separate"/>
      </w:r>
      <w:r w:rsidRPr="00E4450E">
        <w:rPr>
          <w:rFonts w:ascii="Times New Roman" w:hAnsi="Times New Roman" w:cs="Times New Roman"/>
        </w:rPr>
        <w:t xml:space="preserve">Berg, H. C. (2003). The Rotary Motor of Bacterial Flagella. </w:t>
      </w:r>
      <w:r w:rsidRPr="00E4450E">
        <w:rPr>
          <w:rFonts w:ascii="Times New Roman" w:hAnsi="Times New Roman" w:cs="Times New Roman"/>
          <w:i/>
          <w:iCs/>
        </w:rPr>
        <w:t>Annual Review of Biochemistry</w:t>
      </w:r>
      <w:r w:rsidRPr="00E4450E">
        <w:rPr>
          <w:rFonts w:ascii="Times New Roman" w:hAnsi="Times New Roman" w:cs="Times New Roman"/>
        </w:rPr>
        <w:t xml:space="preserve">, </w:t>
      </w:r>
      <w:r w:rsidRPr="00E4450E">
        <w:rPr>
          <w:rFonts w:ascii="Times New Roman" w:hAnsi="Times New Roman" w:cs="Times New Roman"/>
          <w:i/>
          <w:iCs/>
        </w:rPr>
        <w:t>72</w:t>
      </w:r>
      <w:r w:rsidRPr="00E4450E">
        <w:rPr>
          <w:rFonts w:ascii="Times New Roman" w:hAnsi="Times New Roman" w:cs="Times New Roman"/>
        </w:rPr>
        <w:t>(1), 19</w:t>
      </w:r>
      <w:r w:rsidRPr="00E4450E">
        <w:rPr>
          <w:rFonts w:ascii="Times New Roman" w:hAnsi="Times New Roman" w:cs="Times New Roman" w:hint="cs"/>
        </w:rPr>
        <w:t>–</w:t>
      </w:r>
      <w:r w:rsidRPr="00E4450E">
        <w:rPr>
          <w:rFonts w:ascii="Times New Roman" w:hAnsi="Times New Roman" w:cs="Times New Roman"/>
        </w:rPr>
        <w:t>54. https://doi.org/10.1146/annurev.biochem.72.121801.161737</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Deme, J. C., Johnson, S., Vickery, O., Aron, A., Monkhouse, H., Griffiths, T., James, R. H., Berks, B. C., Coulton, J. W., Stansfeld, P. J., &amp; Lea, S. M. (2020). Structures of the stator complex that drives rotation of the bacterial flagellum. </w:t>
      </w:r>
      <w:r w:rsidRPr="00E4450E">
        <w:rPr>
          <w:rFonts w:ascii="Times New Roman" w:hAnsi="Times New Roman" w:cs="Times New Roman"/>
          <w:i/>
          <w:iCs/>
        </w:rPr>
        <w:t>Nature Microbiology</w:t>
      </w:r>
      <w:r w:rsidRPr="00E4450E">
        <w:rPr>
          <w:rFonts w:ascii="Times New Roman" w:hAnsi="Times New Roman" w:cs="Times New Roman"/>
        </w:rPr>
        <w:t xml:space="preserve">, </w:t>
      </w:r>
      <w:r w:rsidRPr="00E4450E">
        <w:rPr>
          <w:rFonts w:ascii="Times New Roman" w:hAnsi="Times New Roman" w:cs="Times New Roman"/>
          <w:i/>
          <w:iCs/>
        </w:rPr>
        <w:t>5</w:t>
      </w:r>
      <w:r w:rsidRPr="00E4450E">
        <w:rPr>
          <w:rFonts w:ascii="Times New Roman" w:hAnsi="Times New Roman" w:cs="Times New Roman"/>
        </w:rPr>
        <w:t>(12), 1553</w:t>
      </w:r>
      <w:r w:rsidRPr="00E4450E">
        <w:rPr>
          <w:rFonts w:ascii="Times New Roman" w:hAnsi="Times New Roman" w:cs="Times New Roman" w:hint="cs"/>
        </w:rPr>
        <w:t>–</w:t>
      </w:r>
      <w:r w:rsidRPr="00E4450E">
        <w:rPr>
          <w:rFonts w:ascii="Times New Roman" w:hAnsi="Times New Roman" w:cs="Times New Roman"/>
        </w:rPr>
        <w:t>1564. https://doi.org/10.1038/s41564-020-0788-8</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Erhardt, M., Namba, K., &amp; Hughes, K. T. (2010). Bacterial Nanomachines: The Flagellum and Type III Injectisome. </w:t>
      </w:r>
      <w:r w:rsidRPr="00E4450E">
        <w:rPr>
          <w:rFonts w:ascii="Times New Roman" w:hAnsi="Times New Roman" w:cs="Times New Roman"/>
          <w:i/>
          <w:iCs/>
        </w:rPr>
        <w:t>Cold Spring Harbor Perspectives in Biology</w:t>
      </w:r>
      <w:r w:rsidRPr="00E4450E">
        <w:rPr>
          <w:rFonts w:ascii="Times New Roman" w:hAnsi="Times New Roman" w:cs="Times New Roman"/>
        </w:rPr>
        <w:t xml:space="preserve">, </w:t>
      </w:r>
      <w:r w:rsidRPr="00E4450E">
        <w:rPr>
          <w:rFonts w:ascii="Times New Roman" w:hAnsi="Times New Roman" w:cs="Times New Roman"/>
          <w:i/>
          <w:iCs/>
        </w:rPr>
        <w:t>2</w:t>
      </w:r>
      <w:r w:rsidRPr="00E4450E">
        <w:rPr>
          <w:rFonts w:ascii="Times New Roman" w:hAnsi="Times New Roman" w:cs="Times New Roman"/>
        </w:rPr>
        <w:t>(11), a000299</w:t>
      </w:r>
      <w:r w:rsidRPr="00E4450E">
        <w:rPr>
          <w:rFonts w:ascii="Times New Roman" w:hAnsi="Times New Roman" w:cs="Times New Roman" w:hint="cs"/>
        </w:rPr>
        <w:t>–</w:t>
      </w:r>
      <w:r w:rsidRPr="00E4450E">
        <w:rPr>
          <w:rFonts w:ascii="Times New Roman" w:hAnsi="Times New Roman" w:cs="Times New Roman"/>
        </w:rPr>
        <w:t>a000299. https://doi.org/10.1101/cshperspect.a000299</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Hirano, T., Yamaguchi, S., Oosawa, K., &amp; Aizawa, S. (1994). Roles of FliK and FlhB in determination of flagellar hook length in Salmonella typhimurium. </w:t>
      </w:r>
      <w:r w:rsidRPr="00E4450E">
        <w:rPr>
          <w:rFonts w:ascii="Times New Roman" w:hAnsi="Times New Roman" w:cs="Times New Roman"/>
          <w:i/>
          <w:iCs/>
        </w:rPr>
        <w:t>Journal of Bacteriology</w:t>
      </w:r>
      <w:r w:rsidRPr="00E4450E">
        <w:rPr>
          <w:rFonts w:ascii="Times New Roman" w:hAnsi="Times New Roman" w:cs="Times New Roman"/>
        </w:rPr>
        <w:t xml:space="preserve">, </w:t>
      </w:r>
      <w:r w:rsidRPr="00E4450E">
        <w:rPr>
          <w:rFonts w:ascii="Times New Roman" w:hAnsi="Times New Roman" w:cs="Times New Roman"/>
          <w:i/>
          <w:iCs/>
        </w:rPr>
        <w:t>176</w:t>
      </w:r>
      <w:r w:rsidRPr="00E4450E">
        <w:rPr>
          <w:rFonts w:ascii="Times New Roman" w:hAnsi="Times New Roman" w:cs="Times New Roman"/>
        </w:rPr>
        <w:t>(17), 5439</w:t>
      </w:r>
      <w:r w:rsidRPr="00E4450E">
        <w:rPr>
          <w:rFonts w:ascii="Times New Roman" w:hAnsi="Times New Roman" w:cs="Times New Roman" w:hint="cs"/>
        </w:rPr>
        <w:t>–</w:t>
      </w:r>
      <w:r w:rsidRPr="00E4450E">
        <w:rPr>
          <w:rFonts w:ascii="Times New Roman" w:hAnsi="Times New Roman" w:cs="Times New Roman"/>
        </w:rPr>
        <w:t>5449. https://doi.org/10.1128/jb.176.17.5439-5449.1994</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Johnson, S., Deme, J. C., Furlong, E. J., Caesar, J. J. E., Chevance, F. F. V., Hughes, K. T., &amp; Lea, S. M. (2024). Structural basis of directional switching by the bacterial flagellum. </w:t>
      </w:r>
      <w:r w:rsidRPr="00E4450E">
        <w:rPr>
          <w:rFonts w:ascii="Times New Roman" w:hAnsi="Times New Roman" w:cs="Times New Roman"/>
          <w:i/>
          <w:iCs/>
        </w:rPr>
        <w:t>Nature Microbiology</w:t>
      </w:r>
      <w:r w:rsidRPr="00E4450E">
        <w:rPr>
          <w:rFonts w:ascii="Times New Roman" w:hAnsi="Times New Roman" w:cs="Times New Roman"/>
        </w:rPr>
        <w:t xml:space="preserve">, </w:t>
      </w:r>
      <w:r w:rsidRPr="00E4450E">
        <w:rPr>
          <w:rFonts w:ascii="Times New Roman" w:hAnsi="Times New Roman" w:cs="Times New Roman"/>
          <w:i/>
          <w:iCs/>
        </w:rPr>
        <w:t>9</w:t>
      </w:r>
      <w:r w:rsidRPr="00E4450E">
        <w:rPr>
          <w:rFonts w:ascii="Times New Roman" w:hAnsi="Times New Roman" w:cs="Times New Roman"/>
        </w:rPr>
        <w:t>(5), 1282</w:t>
      </w:r>
      <w:r w:rsidRPr="00E4450E">
        <w:rPr>
          <w:rFonts w:ascii="Times New Roman" w:hAnsi="Times New Roman" w:cs="Times New Roman" w:hint="cs"/>
        </w:rPr>
        <w:t>–</w:t>
      </w:r>
      <w:r w:rsidRPr="00E4450E">
        <w:rPr>
          <w:rFonts w:ascii="Times New Roman" w:hAnsi="Times New Roman" w:cs="Times New Roman"/>
        </w:rPr>
        <w:t>1292. https://doi.org/10.1038/s41564-024-01630-z</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Johnson, S., Furlong, E. J., Deme, J. C., Nord, A. L., Caesar, J. J. E., Chevance, F. F. V., Berry, R. M., Hughes, K. T., &amp; Lea, S. M. (2021). Molecular structure of the intact bacterial </w:t>
      </w:r>
      <w:r w:rsidRPr="00E4450E">
        <w:rPr>
          <w:rFonts w:ascii="Times New Roman" w:hAnsi="Times New Roman" w:cs="Times New Roman"/>
        </w:rPr>
        <w:lastRenderedPageBreak/>
        <w:t xml:space="preserve">flagellar basal body. </w:t>
      </w:r>
      <w:r w:rsidRPr="00E4450E">
        <w:rPr>
          <w:rFonts w:ascii="Times New Roman" w:hAnsi="Times New Roman" w:cs="Times New Roman"/>
          <w:i/>
          <w:iCs/>
        </w:rPr>
        <w:t>Nature Microbiology</w:t>
      </w:r>
      <w:r w:rsidRPr="00E4450E">
        <w:rPr>
          <w:rFonts w:ascii="Times New Roman" w:hAnsi="Times New Roman" w:cs="Times New Roman"/>
        </w:rPr>
        <w:t xml:space="preserve">, </w:t>
      </w:r>
      <w:r w:rsidRPr="00E4450E">
        <w:rPr>
          <w:rFonts w:ascii="Times New Roman" w:hAnsi="Times New Roman" w:cs="Times New Roman"/>
          <w:i/>
          <w:iCs/>
        </w:rPr>
        <w:t>6</w:t>
      </w:r>
      <w:r w:rsidRPr="00E4450E">
        <w:rPr>
          <w:rFonts w:ascii="Times New Roman" w:hAnsi="Times New Roman" w:cs="Times New Roman"/>
        </w:rPr>
        <w:t>(6), 712</w:t>
      </w:r>
      <w:r w:rsidRPr="00E4450E">
        <w:rPr>
          <w:rFonts w:ascii="Times New Roman" w:hAnsi="Times New Roman" w:cs="Times New Roman" w:hint="cs"/>
        </w:rPr>
        <w:t>–</w:t>
      </w:r>
      <w:r w:rsidRPr="00E4450E">
        <w:rPr>
          <w:rFonts w:ascii="Times New Roman" w:hAnsi="Times New Roman" w:cs="Times New Roman"/>
        </w:rPr>
        <w:t>721. https://doi.org/10.1038/s41564-021-00895-y</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Macnab, R. M. (2003). How Bacteria Assemble Flagella. </w:t>
      </w:r>
      <w:r w:rsidRPr="00E4450E">
        <w:rPr>
          <w:rFonts w:ascii="Times New Roman" w:hAnsi="Times New Roman" w:cs="Times New Roman"/>
          <w:i/>
          <w:iCs/>
        </w:rPr>
        <w:t>Annual Review of Microbiology</w:t>
      </w:r>
      <w:r w:rsidRPr="00E4450E">
        <w:rPr>
          <w:rFonts w:ascii="Times New Roman" w:hAnsi="Times New Roman" w:cs="Times New Roman"/>
        </w:rPr>
        <w:t xml:space="preserve">, </w:t>
      </w:r>
      <w:r w:rsidRPr="00E4450E">
        <w:rPr>
          <w:rFonts w:ascii="Times New Roman" w:hAnsi="Times New Roman" w:cs="Times New Roman"/>
          <w:i/>
          <w:iCs/>
        </w:rPr>
        <w:t>57</w:t>
      </w:r>
      <w:r w:rsidRPr="00E4450E">
        <w:rPr>
          <w:rFonts w:ascii="Times New Roman" w:hAnsi="Times New Roman" w:cs="Times New Roman"/>
        </w:rPr>
        <w:t>(1), 77</w:t>
      </w:r>
      <w:r w:rsidRPr="00E4450E">
        <w:rPr>
          <w:rFonts w:ascii="Times New Roman" w:hAnsi="Times New Roman" w:cs="Times New Roman" w:hint="cs"/>
        </w:rPr>
        <w:t>–</w:t>
      </w:r>
      <w:r w:rsidRPr="00E4450E">
        <w:rPr>
          <w:rFonts w:ascii="Times New Roman" w:hAnsi="Times New Roman" w:cs="Times New Roman"/>
        </w:rPr>
        <w:t>100. https://doi.org/10.1146/annurev.micro.57.030502.090832</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Magariyama, Y., &amp; Kudo, S. (2002). A Mathematical Explanation of an Increase in Bacterial Swimming Speed with Viscosity in Linear-Polymer Solutions. </w:t>
      </w:r>
      <w:r w:rsidRPr="00E4450E">
        <w:rPr>
          <w:rFonts w:ascii="Times New Roman" w:hAnsi="Times New Roman" w:cs="Times New Roman"/>
          <w:i/>
          <w:iCs/>
        </w:rPr>
        <w:t>Biophysical Journal</w:t>
      </w:r>
      <w:r w:rsidRPr="00E4450E">
        <w:rPr>
          <w:rFonts w:ascii="Times New Roman" w:hAnsi="Times New Roman" w:cs="Times New Roman"/>
        </w:rPr>
        <w:t xml:space="preserve">, </w:t>
      </w:r>
      <w:r w:rsidRPr="00E4450E">
        <w:rPr>
          <w:rFonts w:ascii="Times New Roman" w:hAnsi="Times New Roman" w:cs="Times New Roman"/>
          <w:i/>
          <w:iCs/>
        </w:rPr>
        <w:t>83</w:t>
      </w:r>
      <w:r w:rsidRPr="00E4450E">
        <w:rPr>
          <w:rFonts w:ascii="Times New Roman" w:hAnsi="Times New Roman" w:cs="Times New Roman"/>
        </w:rPr>
        <w:t>(2), 733</w:t>
      </w:r>
      <w:r w:rsidRPr="00E4450E">
        <w:rPr>
          <w:rFonts w:ascii="Times New Roman" w:hAnsi="Times New Roman" w:cs="Times New Roman" w:hint="cs"/>
        </w:rPr>
        <w:t>–</w:t>
      </w:r>
      <w:r w:rsidRPr="00E4450E">
        <w:rPr>
          <w:rFonts w:ascii="Times New Roman" w:hAnsi="Times New Roman" w:cs="Times New Roman"/>
        </w:rPr>
        <w:t>739. https://doi.org/10.1016/S0006-3495(02)75204-1</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Minamino, T., &amp; Namba, K. (2008). Distinct roles of the FliI ATPase and proton motive force in bacterial flagellar protein export. </w:t>
      </w:r>
      <w:r w:rsidRPr="00E4450E">
        <w:rPr>
          <w:rFonts w:ascii="Times New Roman" w:hAnsi="Times New Roman" w:cs="Times New Roman"/>
          <w:i/>
          <w:iCs/>
        </w:rPr>
        <w:t>Nature</w:t>
      </w:r>
      <w:r w:rsidRPr="00E4450E">
        <w:rPr>
          <w:rFonts w:ascii="Times New Roman" w:hAnsi="Times New Roman" w:cs="Times New Roman"/>
        </w:rPr>
        <w:t xml:space="preserve">, </w:t>
      </w:r>
      <w:r w:rsidRPr="00E4450E">
        <w:rPr>
          <w:rFonts w:ascii="Times New Roman" w:hAnsi="Times New Roman" w:cs="Times New Roman"/>
          <w:i/>
          <w:iCs/>
        </w:rPr>
        <w:t>451</w:t>
      </w:r>
      <w:r w:rsidRPr="00E4450E">
        <w:rPr>
          <w:rFonts w:ascii="Times New Roman" w:hAnsi="Times New Roman" w:cs="Times New Roman"/>
        </w:rPr>
        <w:t>(7177), 485</w:t>
      </w:r>
      <w:r w:rsidRPr="00E4450E">
        <w:rPr>
          <w:rFonts w:ascii="Times New Roman" w:hAnsi="Times New Roman" w:cs="Times New Roman" w:hint="cs"/>
        </w:rPr>
        <w:t>–</w:t>
      </w:r>
      <w:r w:rsidRPr="00E4450E">
        <w:rPr>
          <w:rFonts w:ascii="Times New Roman" w:hAnsi="Times New Roman" w:cs="Times New Roman"/>
        </w:rPr>
        <w:t>488. https://doi.org/10.1038/nature06449</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Paul, K., Gonzalez-Bonet, G., Bilwes, A. M., Crane, B. R., &amp; Blair, D. (2011). Architecture of the flagellar rotor: Architecture of the flagellar rotor. </w:t>
      </w:r>
      <w:r w:rsidRPr="00E4450E">
        <w:rPr>
          <w:rFonts w:ascii="Times New Roman" w:hAnsi="Times New Roman" w:cs="Times New Roman"/>
          <w:i/>
          <w:iCs/>
        </w:rPr>
        <w:t>The EMBO Journal</w:t>
      </w:r>
      <w:r w:rsidRPr="00E4450E">
        <w:rPr>
          <w:rFonts w:ascii="Times New Roman" w:hAnsi="Times New Roman" w:cs="Times New Roman"/>
        </w:rPr>
        <w:t xml:space="preserve">, </w:t>
      </w:r>
      <w:r w:rsidRPr="00E4450E">
        <w:rPr>
          <w:rFonts w:ascii="Times New Roman" w:hAnsi="Times New Roman" w:cs="Times New Roman"/>
          <w:i/>
          <w:iCs/>
        </w:rPr>
        <w:t>30</w:t>
      </w:r>
      <w:r w:rsidRPr="00E4450E">
        <w:rPr>
          <w:rFonts w:ascii="Times New Roman" w:hAnsi="Times New Roman" w:cs="Times New Roman"/>
        </w:rPr>
        <w:t>(14), 2962</w:t>
      </w:r>
      <w:r w:rsidRPr="00E4450E">
        <w:rPr>
          <w:rFonts w:ascii="Times New Roman" w:hAnsi="Times New Roman" w:cs="Times New Roman" w:hint="cs"/>
        </w:rPr>
        <w:t>–</w:t>
      </w:r>
      <w:r w:rsidRPr="00E4450E">
        <w:rPr>
          <w:rFonts w:ascii="Times New Roman" w:hAnsi="Times New Roman" w:cs="Times New Roman"/>
        </w:rPr>
        <w:t>2971. https://doi.org/10.1038/emboj.2011.188</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Rieu, M., Krutyholowa, R., Taylor, N. M. I., &amp; Berry, R. M. (2022). A new class of biological ion-driven rotary molecular motors with 5:2 symmetry. </w:t>
      </w:r>
      <w:r w:rsidRPr="00E4450E">
        <w:rPr>
          <w:rFonts w:ascii="Times New Roman" w:hAnsi="Times New Roman" w:cs="Times New Roman"/>
          <w:i/>
          <w:iCs/>
        </w:rPr>
        <w:t>Frontiers in Microbiology</w:t>
      </w:r>
      <w:r w:rsidRPr="00E4450E">
        <w:rPr>
          <w:rFonts w:ascii="Times New Roman" w:hAnsi="Times New Roman" w:cs="Times New Roman"/>
        </w:rPr>
        <w:t xml:space="preserve">, </w:t>
      </w:r>
      <w:r w:rsidRPr="00E4450E">
        <w:rPr>
          <w:rFonts w:ascii="Times New Roman" w:hAnsi="Times New Roman" w:cs="Times New Roman"/>
          <w:i/>
          <w:iCs/>
        </w:rPr>
        <w:t>13</w:t>
      </w:r>
      <w:r w:rsidRPr="00E4450E">
        <w:rPr>
          <w:rFonts w:ascii="Times New Roman" w:hAnsi="Times New Roman" w:cs="Times New Roman"/>
        </w:rPr>
        <w:t>, 948383. https://doi.org/10.3389/fmicb.2022.948383</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Samatey, F. A., Matsunami, H., Imada, K., Nagashima, S., Shaikh, T. R., Thomas, D. R., Chen, J. Z., DeRosier, D. J., Kitao, A., &amp; Namba, K. (2004). Structure of the bacterial flagellar hook and implication for the molecular universal joint mechanism. </w:t>
      </w:r>
      <w:r w:rsidRPr="00E4450E">
        <w:rPr>
          <w:rFonts w:ascii="Times New Roman" w:hAnsi="Times New Roman" w:cs="Times New Roman"/>
          <w:i/>
          <w:iCs/>
        </w:rPr>
        <w:t>Nature</w:t>
      </w:r>
      <w:r w:rsidRPr="00E4450E">
        <w:rPr>
          <w:rFonts w:ascii="Times New Roman" w:hAnsi="Times New Roman" w:cs="Times New Roman"/>
        </w:rPr>
        <w:t xml:space="preserve">, </w:t>
      </w:r>
      <w:r w:rsidRPr="00E4450E">
        <w:rPr>
          <w:rFonts w:ascii="Times New Roman" w:hAnsi="Times New Roman" w:cs="Times New Roman"/>
          <w:i/>
          <w:iCs/>
        </w:rPr>
        <w:t>431</w:t>
      </w:r>
      <w:r w:rsidRPr="00E4450E">
        <w:rPr>
          <w:rFonts w:ascii="Times New Roman" w:hAnsi="Times New Roman" w:cs="Times New Roman"/>
        </w:rPr>
        <w:t>(7012), 1062</w:t>
      </w:r>
      <w:r w:rsidRPr="00E4450E">
        <w:rPr>
          <w:rFonts w:ascii="Times New Roman" w:hAnsi="Times New Roman" w:cs="Times New Roman" w:hint="cs"/>
        </w:rPr>
        <w:t>–</w:t>
      </w:r>
      <w:r w:rsidRPr="00E4450E">
        <w:rPr>
          <w:rFonts w:ascii="Times New Roman" w:hAnsi="Times New Roman" w:cs="Times New Roman"/>
        </w:rPr>
        <w:t>1068. https://doi.org/10.1038/nature02997</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Santiveri, M., Roa-Eguiara, A., K</w:t>
      </w:r>
      <w:r w:rsidRPr="00E4450E">
        <w:rPr>
          <w:rFonts w:ascii="Times New Roman" w:hAnsi="Times New Roman" w:cs="Times New Roman" w:hint="cs"/>
        </w:rPr>
        <w:t>ü</w:t>
      </w:r>
      <w:r w:rsidRPr="00E4450E">
        <w:rPr>
          <w:rFonts w:ascii="Times New Roman" w:hAnsi="Times New Roman" w:cs="Times New Roman"/>
        </w:rPr>
        <w:t xml:space="preserve">hne, C., Wadhwa, N., Hu, H., Berg, H. C., Erhardt, M., &amp; Taylor, N. M. I. (2020). Structure and Function of Stator Units of the Bacterial Flagellar Motor. </w:t>
      </w:r>
      <w:r w:rsidRPr="00E4450E">
        <w:rPr>
          <w:rFonts w:ascii="Times New Roman" w:hAnsi="Times New Roman" w:cs="Times New Roman"/>
          <w:i/>
          <w:iCs/>
        </w:rPr>
        <w:t>Cell</w:t>
      </w:r>
      <w:r w:rsidRPr="00E4450E">
        <w:rPr>
          <w:rFonts w:ascii="Times New Roman" w:hAnsi="Times New Roman" w:cs="Times New Roman"/>
        </w:rPr>
        <w:t xml:space="preserve">, </w:t>
      </w:r>
      <w:r w:rsidRPr="00E4450E">
        <w:rPr>
          <w:rFonts w:ascii="Times New Roman" w:hAnsi="Times New Roman" w:cs="Times New Roman"/>
          <w:i/>
          <w:iCs/>
        </w:rPr>
        <w:t>183</w:t>
      </w:r>
      <w:r w:rsidRPr="00E4450E">
        <w:rPr>
          <w:rFonts w:ascii="Times New Roman" w:hAnsi="Times New Roman" w:cs="Times New Roman"/>
        </w:rPr>
        <w:t>(1), 244-257.e16. https://doi.org/10.1016/j.cell.2020.08.016</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Summers, J. K., &amp; Kreft, J.-U. (2022). Predation Strategies of the Bacterium Bdellovibrio bacteriovorus Result in Overexploitation and Bottlenecks. </w:t>
      </w:r>
      <w:r w:rsidRPr="00E4450E">
        <w:rPr>
          <w:rFonts w:ascii="Times New Roman" w:hAnsi="Times New Roman" w:cs="Times New Roman"/>
          <w:i/>
          <w:iCs/>
        </w:rPr>
        <w:t>Applied and Environmental Microbiology</w:t>
      </w:r>
      <w:r w:rsidRPr="00E4450E">
        <w:rPr>
          <w:rFonts w:ascii="Times New Roman" w:hAnsi="Times New Roman" w:cs="Times New Roman"/>
        </w:rPr>
        <w:t xml:space="preserve">, </w:t>
      </w:r>
      <w:r w:rsidRPr="00E4450E">
        <w:rPr>
          <w:rFonts w:ascii="Times New Roman" w:hAnsi="Times New Roman" w:cs="Times New Roman"/>
          <w:i/>
          <w:iCs/>
        </w:rPr>
        <w:t>88</w:t>
      </w:r>
      <w:r w:rsidRPr="00E4450E">
        <w:rPr>
          <w:rFonts w:ascii="Times New Roman" w:hAnsi="Times New Roman" w:cs="Times New Roman"/>
        </w:rPr>
        <w:t>(1), e01082-21. https://doi.org/10.1128/AEM.01082-21</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Tan, J., Zhang, L., Zhou, X., Han, S., Zhou, Y., &amp; Zhu, Y. (2024). Structural basis of the bacterial flagellar motor rotational switching. </w:t>
      </w:r>
      <w:r w:rsidRPr="00E4450E">
        <w:rPr>
          <w:rFonts w:ascii="Times New Roman" w:hAnsi="Times New Roman" w:cs="Times New Roman"/>
          <w:i/>
          <w:iCs/>
        </w:rPr>
        <w:t>Cell Research</w:t>
      </w:r>
      <w:r w:rsidRPr="00E4450E">
        <w:rPr>
          <w:rFonts w:ascii="Times New Roman" w:hAnsi="Times New Roman" w:cs="Times New Roman"/>
        </w:rPr>
        <w:t xml:space="preserve">, </w:t>
      </w:r>
      <w:r w:rsidRPr="00E4450E">
        <w:rPr>
          <w:rFonts w:ascii="Times New Roman" w:hAnsi="Times New Roman" w:cs="Times New Roman"/>
          <w:i/>
          <w:iCs/>
        </w:rPr>
        <w:t>34</w:t>
      </w:r>
      <w:r w:rsidRPr="00E4450E">
        <w:rPr>
          <w:rFonts w:ascii="Times New Roman" w:hAnsi="Times New Roman" w:cs="Times New Roman"/>
        </w:rPr>
        <w:t>(11), 788</w:t>
      </w:r>
      <w:r w:rsidRPr="00E4450E">
        <w:rPr>
          <w:rFonts w:ascii="Times New Roman" w:hAnsi="Times New Roman" w:cs="Times New Roman" w:hint="cs"/>
        </w:rPr>
        <w:t>–</w:t>
      </w:r>
      <w:r w:rsidRPr="00E4450E">
        <w:rPr>
          <w:rFonts w:ascii="Times New Roman" w:hAnsi="Times New Roman" w:cs="Times New Roman"/>
        </w:rPr>
        <w:t>801. https://doi.org/10.1038/s41422-024-01017-z</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lastRenderedPageBreak/>
        <w:t xml:space="preserve">Yamaguchi, T., Makino, F., Miyata, T., Minamino, T., Kato, T., &amp; Namba, K. (2021). Structure of the molecular bushing of the bacterial flagellar motor. </w:t>
      </w:r>
      <w:r w:rsidRPr="00E4450E">
        <w:rPr>
          <w:rFonts w:ascii="Times New Roman" w:hAnsi="Times New Roman" w:cs="Times New Roman"/>
          <w:i/>
          <w:iCs/>
        </w:rPr>
        <w:t>Nature Communications</w:t>
      </w:r>
      <w:r w:rsidRPr="00E4450E">
        <w:rPr>
          <w:rFonts w:ascii="Times New Roman" w:hAnsi="Times New Roman" w:cs="Times New Roman"/>
        </w:rPr>
        <w:t xml:space="preserve">, </w:t>
      </w:r>
      <w:r w:rsidRPr="00E4450E">
        <w:rPr>
          <w:rFonts w:ascii="Times New Roman" w:hAnsi="Times New Roman" w:cs="Times New Roman"/>
          <w:i/>
          <w:iCs/>
        </w:rPr>
        <w:t>12</w:t>
      </w:r>
      <w:r w:rsidRPr="00E4450E">
        <w:rPr>
          <w:rFonts w:ascii="Times New Roman" w:hAnsi="Times New Roman" w:cs="Times New Roman"/>
        </w:rPr>
        <w:t>(1), 4469. https://doi.org/10.1038/s41467-021-24715-3</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Yonekura, K., Maki-Yonekura, S., &amp; Namba, K. (2003). Complete atomic model of the bacterial flagellar filament by electron cryomicroscopy. </w:t>
      </w:r>
      <w:r w:rsidRPr="00E4450E">
        <w:rPr>
          <w:rFonts w:ascii="Times New Roman" w:hAnsi="Times New Roman" w:cs="Times New Roman"/>
          <w:i/>
          <w:iCs/>
        </w:rPr>
        <w:t>Nature</w:t>
      </w:r>
      <w:r w:rsidRPr="00E4450E">
        <w:rPr>
          <w:rFonts w:ascii="Times New Roman" w:hAnsi="Times New Roman" w:cs="Times New Roman"/>
        </w:rPr>
        <w:t xml:space="preserve">, </w:t>
      </w:r>
      <w:r w:rsidRPr="00E4450E">
        <w:rPr>
          <w:rFonts w:ascii="Times New Roman" w:hAnsi="Times New Roman" w:cs="Times New Roman"/>
          <w:i/>
          <w:iCs/>
        </w:rPr>
        <w:t>424</w:t>
      </w:r>
      <w:r w:rsidRPr="00E4450E">
        <w:rPr>
          <w:rFonts w:ascii="Times New Roman" w:hAnsi="Times New Roman" w:cs="Times New Roman"/>
        </w:rPr>
        <w:t>(6949), 643</w:t>
      </w:r>
      <w:r w:rsidRPr="00E4450E">
        <w:rPr>
          <w:rFonts w:ascii="Times New Roman" w:hAnsi="Times New Roman" w:cs="Times New Roman" w:hint="cs"/>
        </w:rPr>
        <w:t>–</w:t>
      </w:r>
      <w:r w:rsidRPr="00E4450E">
        <w:rPr>
          <w:rFonts w:ascii="Times New Roman" w:hAnsi="Times New Roman" w:cs="Times New Roman"/>
        </w:rPr>
        <w:t>650. https://doi.org/10.1038/nature01830</w:t>
      </w:r>
    </w:p>
    <w:p w:rsidR="00E4450E" w:rsidRPr="00B751D5" w:rsidRDefault="00E4450E" w:rsidP="00E4450E">
      <w:pPr>
        <w:spacing w:line="360" w:lineRule="auto"/>
        <w:rPr>
          <w:rFonts w:ascii="Times New Roman" w:hAnsi="Times New Roman" w:cs="Times New Roman"/>
          <w:u w:val="single"/>
        </w:rPr>
      </w:pPr>
      <w:r>
        <w:rPr>
          <w:rFonts w:ascii="Times New Roman" w:hAnsi="Times New Roman" w:cs="Times New Roman"/>
          <w:u w:val="single"/>
        </w:rPr>
        <w:fldChar w:fldCharType="end"/>
      </w:r>
    </w:p>
    <w:sectPr w:rsidR="00E4450E" w:rsidRPr="00B7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CC"/>
    <w:rsid w:val="003B38BA"/>
    <w:rsid w:val="003C2B53"/>
    <w:rsid w:val="00485D9D"/>
    <w:rsid w:val="004D6FCB"/>
    <w:rsid w:val="004F5E42"/>
    <w:rsid w:val="0053113E"/>
    <w:rsid w:val="00682329"/>
    <w:rsid w:val="006C37CC"/>
    <w:rsid w:val="006E5AC0"/>
    <w:rsid w:val="00B751D5"/>
    <w:rsid w:val="00DF4947"/>
    <w:rsid w:val="00E40608"/>
    <w:rsid w:val="00E4450E"/>
    <w:rsid w:val="00ED777B"/>
    <w:rsid w:val="00FA4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575A2"/>
  <w15:chartTrackingRefBased/>
  <w15:docId w15:val="{57B91784-C62D-1744-8370-0829E351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4450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4275</Words>
  <Characters>24369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Kaul</dc:creator>
  <cp:keywords/>
  <dc:description/>
  <cp:lastModifiedBy>Arya Kaul</cp:lastModifiedBy>
  <cp:revision>8</cp:revision>
  <dcterms:created xsi:type="dcterms:W3CDTF">2025-07-08T09:50:00Z</dcterms:created>
  <dcterms:modified xsi:type="dcterms:W3CDTF">2025-07-12T09:06:00Z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zotero-version="7.0.18"&gt;&lt;session id="Zlku71Xo"/&gt;&lt;style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