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5AC0" w:rsidRPr="003C2B53" w:rsidRDefault="006C37CC" w:rsidP="00E4450E">
      <w:pPr>
        <w:spacing w:line="360" w:lineRule="auto"/>
        <w:rPr>
          <w:rFonts w:ascii="Times New Roman" w:hAnsi="Times New Roman" w:cs="Times New Roman"/>
          <w:u w:val="single"/>
        </w:rPr>
      </w:pPr>
      <w:r w:rsidRPr="003C2B53">
        <w:rPr>
          <w:rFonts w:ascii="Times New Roman" w:hAnsi="Times New Roman" w:cs="Times New Roman" w:hint="cs"/>
          <w:u w:val="single"/>
        </w:rPr>
        <w:t>Supplementary Information (SI)</w:t>
      </w:r>
    </w:p>
    <w:p w:rsidR="006C37CC" w:rsidRPr="003C2B53" w:rsidRDefault="006C37CC" w:rsidP="00E4450E">
      <w:pPr>
        <w:spacing w:line="360" w:lineRule="auto"/>
        <w:rPr>
          <w:rFonts w:ascii="Times New Roman" w:hAnsi="Times New Roman" w:cs="Times New Roman"/>
          <w:u w:val="single"/>
        </w:rPr>
      </w:pPr>
    </w:p>
    <w:p w:rsidR="006C37CC" w:rsidRPr="003C2B53" w:rsidRDefault="006C37CC" w:rsidP="00E4450E">
      <w:pPr>
        <w:spacing w:line="360" w:lineRule="auto"/>
        <w:rPr>
          <w:rFonts w:ascii="Times New Roman" w:hAnsi="Times New Roman" w:cs="Times New Roman"/>
          <w:u w:val="single"/>
        </w:rPr>
      </w:pPr>
      <w:r w:rsidRPr="003C2B53">
        <w:rPr>
          <w:rFonts w:ascii="Times New Roman" w:hAnsi="Times New Roman" w:cs="Times New Roman" w:hint="cs"/>
          <w:u w:val="single"/>
        </w:rPr>
        <w:t>Supplementary background on the bacterial flagellum</w:t>
      </w:r>
    </w:p>
    <w:p w:rsidR="00E40608" w:rsidRPr="00485D9D" w:rsidRDefault="00E40608" w:rsidP="00E4450E">
      <w:pPr>
        <w:spacing w:line="360" w:lineRule="auto"/>
        <w:rPr>
          <w:rFonts w:ascii="Times New Roman" w:hAnsi="Times New Roman" w:cs="Times New Roman"/>
        </w:rPr>
      </w:pPr>
    </w:p>
    <w:p w:rsidR="006C37CC" w:rsidRDefault="006C37CC" w:rsidP="00E4450E">
      <w:pPr>
        <w:spacing w:line="360" w:lineRule="auto"/>
        <w:rPr>
          <w:rFonts w:ascii="Times New Roman" w:hAnsi="Times New Roman" w:cs="Times New Roman"/>
          <w:u w:val="single"/>
        </w:rPr>
      </w:pPr>
      <w:r w:rsidRPr="00E4450E">
        <w:rPr>
          <w:rFonts w:ascii="Times New Roman" w:hAnsi="Times New Roman" w:cs="Times New Roman" w:hint="cs"/>
          <w:u w:val="single"/>
        </w:rPr>
        <w:t>Architecture of the Flagellar Basal Body</w:t>
      </w:r>
    </w:p>
    <w:p w:rsidR="00E4450E" w:rsidRPr="00E4450E" w:rsidRDefault="00E4450E" w:rsidP="00E4450E">
      <w:pPr>
        <w:spacing w:line="360" w:lineRule="auto"/>
        <w:rPr>
          <w:rFonts w:ascii="Times New Roman" w:hAnsi="Times New Roman" w:cs="Times New Roman"/>
          <w:u w:val="single"/>
        </w:rPr>
      </w:pPr>
    </w:p>
    <w:p w:rsidR="00E4450E" w:rsidRPr="00485D9D" w:rsidRDefault="006C37CC" w:rsidP="00E4450E">
      <w:pPr>
        <w:spacing w:line="360" w:lineRule="auto"/>
        <w:rPr>
          <w:rFonts w:ascii="Times New Roman" w:hAnsi="Times New Roman" w:cs="Times New Roman"/>
        </w:rPr>
      </w:pPr>
      <w:r w:rsidRPr="00485D9D">
        <w:rPr>
          <w:rFonts w:ascii="Times New Roman" w:hAnsi="Times New Roman" w:cs="Times New Roman" w:hint="cs"/>
        </w:rPr>
        <w:t xml:space="preserve">The flagellar basal body is a membrane-spanning nanomachine that anchors the bacterial flagellum and converts electrochemical ion gradients into the high-speed rotation of an extracellular filament </w:t>
      </w:r>
      <w:r w:rsidRPr="00485D9D">
        <w:rPr>
          <w:rFonts w:ascii="Times New Roman" w:hAnsi="Times New Roman" w:cs="Times New Roman" w:hint="cs"/>
        </w:rPr>
        <w:fldChar w:fldCharType="begin"/>
      </w:r>
      <w:r w:rsidRPr="00485D9D">
        <w:rPr>
          <w:rFonts w:ascii="Times New Roman" w:hAnsi="Times New Roman" w:cs="Times New Roman" w:hint="cs"/>
        </w:rPr>
        <w:instrText xml:space="preserve"> ADDIN ZOTERO_ITEM CSL_CITATION {"citationID":"e9WGWWkP","properties":{"formattedCitation":"(Berg, 2003; Erhardt et al., 2010)","plainCitation":"(Berg, 2003; Erhardt et al., 2010)","noteIndex":0},"citationItems":[{"id":20,"uris":["http://zotero.org/users/15975276/items/6W68HBAR"],"itemData":{"id":20,"type":"article-journal","abstract":"▪ Abstract  Flagellated bacteria, such as Escherichia coli, swim by rotating thin helical filaments, each driven at its base by a reversible rotary motor, powered by an ion flux. A motor is about 45 nm in diameter and is assembled from about 20 different kinds of parts. It develops maximum torque at stall but can spin several hundred Hz. Its direction of rotation is controlled by a sensory system that enables cells to accumulate in regions deemed more favorable. We know a great deal about motor structure, genetics, assembly, and function, but we do not really understand how it works. We need more crystal structures. All of this is reviewed, but the emphasis is on function.","container-title":"Annual Review of Biochemistry","DOI":"10.1146/annurev.biochem.72.121801.161737","ISSN":"0066-4154, 1545-4509","issue":"1","journalAbbreviation":"Annu. Rev. Biochem.","language":"en","page":"19-54","source":"DOI.org (Crossref)","title":"The Rotary Motor of Bacterial Flagella","volume":"72","author":[{"family":"Berg","given":"Howard C."}],"issued":{"date-parts":[["2003",6]]}}},{"id":258,"uris":["http://zotero.org/users/15975276/items/64F4CLCV"],"itemData":{"id":258,"type":"article-journal","container-title":"Cold Spring Harbor Perspectives in Biology","DOI":"10.1101/cshperspect.a000299","ISSN":"1943-0264","issue":"11","journalAbbreviation":"Cold Spring Harbor Perspectives in Biology","language":"en","page":"a000299-a000299","source":"DOI.org (Crossref)","title":"Bacterial Nanomachines: The Flagellum and Type III Injectisome","title-short":"Bacterial Nanomachines","volume":"2","author":[{"family":"Erhardt","given":"M."},{"family":"Namba","given":"K."},{"family":"Hughes","given":"K. T."}],"issued":{"date-parts":[["2010",11,1]]}}}],"schema":"https://github.com/citation-style-language/schema/raw/master/csl-citation.json"} </w:instrText>
      </w:r>
      <w:r w:rsidRPr="00485D9D">
        <w:rPr>
          <w:rFonts w:ascii="Times New Roman" w:hAnsi="Times New Roman" w:cs="Times New Roman" w:hint="cs"/>
        </w:rPr>
        <w:fldChar w:fldCharType="separate"/>
      </w:r>
      <w:r w:rsidRPr="00485D9D">
        <w:rPr>
          <w:rFonts w:ascii="Times New Roman" w:hAnsi="Times New Roman" w:cs="Times New Roman" w:hint="cs"/>
          <w:noProof/>
        </w:rPr>
        <w:t>(Berg, 2003; Erhardt et al., 2010)</w:t>
      </w:r>
      <w:r w:rsidRPr="00485D9D">
        <w:rPr>
          <w:rFonts w:ascii="Times New Roman" w:hAnsi="Times New Roman" w:cs="Times New Roman" w:hint="cs"/>
        </w:rPr>
        <w:fldChar w:fldCharType="end"/>
      </w:r>
      <w:r w:rsidRPr="00485D9D">
        <w:rPr>
          <w:rFonts w:ascii="Times New Roman" w:hAnsi="Times New Roman" w:cs="Times New Roman" w:hint="cs"/>
        </w:rPr>
        <w:t xml:space="preserve">. High-resolution cryo-EM maps of intact Salmonella enterica basal bodies (2.2–3.7 Å) reveal a concentric, four-layer architecture comprising the LP-ring, rod, MS-ring, and C-ring, assembled from &gt;170 protein chains of 13 different types </w:t>
      </w:r>
      <w:r w:rsidRPr="00485D9D">
        <w:rPr>
          <w:rFonts w:ascii="Times New Roman" w:hAnsi="Times New Roman" w:cs="Times New Roman" w:hint="cs"/>
        </w:rPr>
        <w:fldChar w:fldCharType="begin"/>
      </w:r>
      <w:r w:rsidRPr="00485D9D">
        <w:rPr>
          <w:rFonts w:ascii="Times New Roman" w:hAnsi="Times New Roman" w:cs="Times New Roman" w:hint="cs"/>
        </w:rPr>
        <w:instrText xml:space="preserve"> ADDIN ZOTERO_ITEM CSL_CITATION {"citationID":"UtE1MKyC","properties":{"formattedCitation":"(Johnson et al., 2021)","plainCitation":"(Johnson et al., 2021)","noteIndex":0},"citationItems":[{"id":210,"uris":["http://zotero.org/users/15975276/items/3MKKF3XF"],"itemData":{"id":210,"type":"article-journal","container-title":"Nature Microbiology","DOI":"10.1038/s41564-021-00895-y","ISSN":"2058-5276","issue":"6","journalAbbreviation":"Nat Microbiol","language":"en","page":"712-721","source":"DOI.org (Crossref)","title":"Molecular structure of the intact bacterial flagellar basal body","volume":"6","author":[{"family":"Johnson","given":"Steven"},{"family":"Furlong","given":"Emily J."},{"family":"Deme","given":"Justin C."},{"family":"Nord","given":"Ashley L."},{"family":"Caesar","given":"Joseph J. E."},{"family":"Chevance","given":"Fabienne F. V."},{"family":"Berry","given":"Richard M."},{"family":"Hughes","given":"Kelly T."},{"family":"Lea","given":"Susan M."}],"issued":{"date-parts":[["2021",4,30]]}}}],"schema":"https://github.com/citation-style-language/schema/raw/master/csl-citation.json"} </w:instrText>
      </w:r>
      <w:r w:rsidRPr="00485D9D">
        <w:rPr>
          <w:rFonts w:ascii="Times New Roman" w:hAnsi="Times New Roman" w:cs="Times New Roman" w:hint="cs"/>
        </w:rPr>
        <w:fldChar w:fldCharType="separate"/>
      </w:r>
      <w:r w:rsidRPr="00485D9D">
        <w:rPr>
          <w:rFonts w:ascii="Times New Roman" w:hAnsi="Times New Roman" w:cs="Times New Roman" w:hint="cs"/>
          <w:noProof/>
        </w:rPr>
        <w:t>(Johnson et al., 2021)</w:t>
      </w:r>
      <w:r w:rsidRPr="00485D9D">
        <w:rPr>
          <w:rFonts w:ascii="Times New Roman" w:hAnsi="Times New Roman" w:cs="Times New Roman" w:hint="cs"/>
        </w:rPr>
        <w:fldChar w:fldCharType="end"/>
      </w:r>
      <w:r w:rsidRPr="00485D9D">
        <w:rPr>
          <w:rFonts w:ascii="Times New Roman" w:hAnsi="Times New Roman" w:cs="Times New Roman" w:hint="cs"/>
        </w:rPr>
        <w:t xml:space="preserve">. The outermost LP-ring built from 26 copies each of </w:t>
      </w:r>
      <w:proofErr w:type="spellStart"/>
      <w:r w:rsidRPr="00485D9D">
        <w:rPr>
          <w:rFonts w:ascii="Times New Roman" w:hAnsi="Times New Roman" w:cs="Times New Roman" w:hint="cs"/>
        </w:rPr>
        <w:t>FlgH</w:t>
      </w:r>
      <w:proofErr w:type="spellEnd"/>
      <w:r w:rsidRPr="00485D9D">
        <w:rPr>
          <w:rFonts w:ascii="Times New Roman" w:hAnsi="Times New Roman" w:cs="Times New Roman" w:hint="cs"/>
        </w:rPr>
        <w:t xml:space="preserve"> (L-ring) and </w:t>
      </w:r>
      <w:proofErr w:type="spellStart"/>
      <w:r w:rsidRPr="00485D9D">
        <w:rPr>
          <w:rFonts w:ascii="Times New Roman" w:hAnsi="Times New Roman" w:cs="Times New Roman" w:hint="cs"/>
        </w:rPr>
        <w:t>FlgI</w:t>
      </w:r>
      <w:proofErr w:type="spellEnd"/>
      <w:r w:rsidRPr="00485D9D">
        <w:rPr>
          <w:rFonts w:ascii="Times New Roman" w:hAnsi="Times New Roman" w:cs="Times New Roman" w:hint="cs"/>
        </w:rPr>
        <w:t xml:space="preserve"> (P-ring) acts as a hydrophobic, lipid-anchored bushing embedded in the outer membrane and peptidoglycan, respectively; its invariant 26-fold symmetry correlates with discrete </w:t>
      </w:r>
      <w:r w:rsidRPr="00485D9D">
        <w:rPr>
          <w:rFonts w:ascii="Cambria Math" w:hAnsi="Cambria Math" w:cs="Cambria Math"/>
        </w:rPr>
        <w:t>∼</w:t>
      </w:r>
      <w:r w:rsidRPr="00485D9D">
        <w:rPr>
          <w:rFonts w:ascii="Times New Roman" w:hAnsi="Times New Roman" w:cs="Times New Roman" w:hint="cs"/>
        </w:rPr>
        <w:t xml:space="preserve">13.8° stepping observed in partially energized motors, suggesting that the LP-ring provides a static interaction potential for rotation </w:t>
      </w:r>
      <w:r w:rsidRPr="00485D9D">
        <w:rPr>
          <w:rFonts w:ascii="Times New Roman" w:hAnsi="Times New Roman" w:cs="Times New Roman" w:hint="cs"/>
        </w:rPr>
        <w:fldChar w:fldCharType="begin"/>
      </w:r>
      <w:r w:rsidRPr="00485D9D">
        <w:rPr>
          <w:rFonts w:ascii="Times New Roman" w:hAnsi="Times New Roman" w:cs="Times New Roman" w:hint="cs"/>
        </w:rPr>
        <w:instrText xml:space="preserve"> ADDIN ZOTERO_ITEM CSL_CITATION {"citationID":"GEQCmU21","properties":{"formattedCitation":"(Johnson et al., 2021)","plainCitation":"(Johnson et al., 2021)","noteIndex":0},"citationItems":[{"id":210,"uris":["http://zotero.org/users/15975276/items/3MKKF3XF"],"itemData":{"id":210,"type":"article-journal","container-title":"Nature Microbiology","DOI":"10.1038/s41564-021-00895-y","ISSN":"2058-5276","issue":"6","journalAbbreviation":"Nat Microbiol","language":"en","page":"712-721","source":"DOI.org (Crossref)","title":"Molecular structure of the intact bacterial flagellar basal body","volume":"6","author":[{"family":"Johnson","given":"Steven"},{"family":"Furlong","given":"Emily J."},{"family":"Deme","given":"Justin C."},{"family":"Nord","given":"Ashley L."},{"family":"Caesar","given":"Joseph J. E."},{"family":"Chevance","given":"Fabienne F. V."},{"family":"Berry","given":"Richard M."},{"family":"Hughes","given":"Kelly T."},{"family":"Lea","given":"Susan M."}],"issued":{"date-parts":[["2021",4,30]]}}}],"schema":"https://github.com/citation-style-language/schema/raw/master/csl-citation.json"} </w:instrText>
      </w:r>
      <w:r w:rsidRPr="00485D9D">
        <w:rPr>
          <w:rFonts w:ascii="Times New Roman" w:hAnsi="Times New Roman" w:cs="Times New Roman" w:hint="cs"/>
        </w:rPr>
        <w:fldChar w:fldCharType="separate"/>
      </w:r>
      <w:r w:rsidRPr="00485D9D">
        <w:rPr>
          <w:rFonts w:ascii="Times New Roman" w:hAnsi="Times New Roman" w:cs="Times New Roman" w:hint="cs"/>
          <w:noProof/>
        </w:rPr>
        <w:t>(Johnson et al., 2021)</w:t>
      </w:r>
      <w:r w:rsidRPr="00485D9D">
        <w:rPr>
          <w:rFonts w:ascii="Times New Roman" w:hAnsi="Times New Roman" w:cs="Times New Roman" w:hint="cs"/>
        </w:rPr>
        <w:fldChar w:fldCharType="end"/>
      </w:r>
      <w:r w:rsidRPr="00485D9D">
        <w:rPr>
          <w:rFonts w:ascii="Times New Roman" w:hAnsi="Times New Roman" w:cs="Times New Roman" w:hint="cs"/>
        </w:rPr>
        <w:t xml:space="preserve">. Nested inside the LP-ring, the axial rod serves as a rigid drive shaft assembled helically from </w:t>
      </w:r>
      <w:proofErr w:type="spellStart"/>
      <w:r w:rsidRPr="00485D9D">
        <w:rPr>
          <w:rFonts w:ascii="Times New Roman" w:hAnsi="Times New Roman" w:cs="Times New Roman" w:hint="cs"/>
        </w:rPr>
        <w:t>FliE</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FlgB</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FlgC</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FlgF</w:t>
      </w:r>
      <w:proofErr w:type="spellEnd"/>
      <w:r w:rsidRPr="00485D9D">
        <w:rPr>
          <w:rFonts w:ascii="Times New Roman" w:hAnsi="Times New Roman" w:cs="Times New Roman" w:hint="cs"/>
        </w:rPr>
        <w:t xml:space="preserve">, and three conformers of </w:t>
      </w:r>
      <w:proofErr w:type="spellStart"/>
      <w:r w:rsidRPr="00485D9D">
        <w:rPr>
          <w:rFonts w:ascii="Times New Roman" w:hAnsi="Times New Roman" w:cs="Times New Roman" w:hint="cs"/>
        </w:rPr>
        <w:t>FlgG</w:t>
      </w:r>
      <w:proofErr w:type="spellEnd"/>
      <w:r w:rsidRPr="00485D9D">
        <w:rPr>
          <w:rFonts w:ascii="Times New Roman" w:hAnsi="Times New Roman" w:cs="Times New Roman" w:hint="cs"/>
        </w:rPr>
        <w:t xml:space="preserve"> and is nucleated by the type III export gate whose </w:t>
      </w:r>
      <w:proofErr w:type="spellStart"/>
      <w:r w:rsidRPr="00485D9D">
        <w:rPr>
          <w:rFonts w:ascii="Times New Roman" w:hAnsi="Times New Roman" w:cs="Times New Roman" w:hint="cs"/>
        </w:rPr>
        <w:t>FliP</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FliQ</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FliR</w:t>
      </w:r>
      <w:proofErr w:type="spellEnd"/>
      <w:r w:rsidRPr="00485D9D">
        <w:rPr>
          <w:rFonts w:ascii="Times New Roman" w:hAnsi="Times New Roman" w:cs="Times New Roman" w:hint="cs"/>
        </w:rPr>
        <w:t xml:space="preserve"> core seeds ten protofilaments while </w:t>
      </w:r>
      <w:proofErr w:type="spellStart"/>
      <w:r w:rsidRPr="00485D9D">
        <w:rPr>
          <w:rFonts w:ascii="Times New Roman" w:hAnsi="Times New Roman" w:cs="Times New Roman" w:hint="cs"/>
        </w:rPr>
        <w:t>FliR</w:t>
      </w:r>
      <w:proofErr w:type="spellEnd"/>
      <w:r w:rsidRPr="00485D9D">
        <w:rPr>
          <w:rFonts w:ascii="Times New Roman" w:hAnsi="Times New Roman" w:cs="Times New Roman" w:hint="cs"/>
        </w:rPr>
        <w:t xml:space="preserve"> seeds an eleventh, thereby propagating a 5.5-subunit-per-turn lattice </w:t>
      </w:r>
      <w:r w:rsidRPr="00485D9D">
        <w:rPr>
          <w:rFonts w:ascii="Times New Roman" w:hAnsi="Times New Roman" w:cs="Times New Roman" w:hint="cs"/>
        </w:rPr>
        <w:fldChar w:fldCharType="begin"/>
      </w:r>
      <w:r w:rsidRPr="00485D9D">
        <w:rPr>
          <w:rFonts w:ascii="Times New Roman" w:hAnsi="Times New Roman" w:cs="Times New Roman" w:hint="cs"/>
        </w:rPr>
        <w:instrText xml:space="preserve"> ADDIN ZOTERO_ITEM CSL_CITATION {"citationID":"DpXmeEdw","properties":{"formattedCitation":"(Johnson et al., 2021)","plainCitation":"(Johnson et al., 2021)","noteIndex":0},"citationItems":[{"id":210,"uris":["http://zotero.org/users/15975276/items/3MKKF3XF"],"itemData":{"id":210,"type":"article-journal","container-title":"Nature Microbiology","DOI":"10.1038/s41564-021-00895-y","ISSN":"2058-5276","issue":"6","journalAbbreviation":"Nat Microbiol","language":"en","page":"712-721","source":"DOI.org (Crossref)","title":"Molecular structure of the intact bacterial flagellar basal body","volume":"6","author":[{"family":"Johnson","given":"Steven"},{"family":"Furlong","given":"Emily J."},{"family":"Deme","given":"Justin C."},{"family":"Nord","given":"Ashley L."},{"family":"Caesar","given":"Joseph J. E."},{"family":"Chevance","given":"Fabienne F. V."},{"family":"Berry","given":"Richard M."},{"family":"Hughes","given":"Kelly T."},{"family":"Lea","given":"Susan M."}],"issued":{"date-parts":[["2021",4,30]]}}}],"schema":"https://github.com/citation-style-language/schema/raw/master/csl-citation.json"} </w:instrText>
      </w:r>
      <w:r w:rsidRPr="00485D9D">
        <w:rPr>
          <w:rFonts w:ascii="Times New Roman" w:hAnsi="Times New Roman" w:cs="Times New Roman" w:hint="cs"/>
        </w:rPr>
        <w:fldChar w:fldCharType="separate"/>
      </w:r>
      <w:r w:rsidRPr="00485D9D">
        <w:rPr>
          <w:rFonts w:ascii="Times New Roman" w:hAnsi="Times New Roman" w:cs="Times New Roman" w:hint="cs"/>
          <w:noProof/>
        </w:rPr>
        <w:t>(Johnson et al., 2021)</w:t>
      </w:r>
      <w:r w:rsidRPr="00485D9D">
        <w:rPr>
          <w:rFonts w:ascii="Times New Roman" w:hAnsi="Times New Roman" w:cs="Times New Roman" w:hint="cs"/>
        </w:rPr>
        <w:fldChar w:fldCharType="end"/>
      </w:r>
      <w:r w:rsidRPr="00485D9D">
        <w:rPr>
          <w:rFonts w:ascii="Times New Roman" w:hAnsi="Times New Roman" w:cs="Times New Roman" w:hint="cs"/>
        </w:rPr>
        <w:t>.</w:t>
      </w:r>
    </w:p>
    <w:p w:rsidR="006C37CC" w:rsidRPr="00485D9D" w:rsidRDefault="006C37CC" w:rsidP="00E4450E">
      <w:pPr>
        <w:spacing w:line="360" w:lineRule="auto"/>
        <w:rPr>
          <w:rFonts w:ascii="Times New Roman" w:hAnsi="Times New Roman" w:cs="Times New Roman"/>
        </w:rPr>
      </w:pPr>
      <w:r w:rsidRPr="00485D9D">
        <w:rPr>
          <w:rFonts w:ascii="Times New Roman" w:hAnsi="Times New Roman" w:cs="Times New Roman" w:hint="cs"/>
        </w:rPr>
        <w:t xml:space="preserve">At the inner membrane, the 34-mer MS-ring, composed solely of </w:t>
      </w:r>
      <w:proofErr w:type="spellStart"/>
      <w:r w:rsidRPr="00485D9D">
        <w:rPr>
          <w:rFonts w:ascii="Times New Roman" w:hAnsi="Times New Roman" w:cs="Times New Roman" w:hint="cs"/>
        </w:rPr>
        <w:t>FliF</w:t>
      </w:r>
      <w:proofErr w:type="spellEnd"/>
      <w:r w:rsidRPr="00485D9D">
        <w:rPr>
          <w:rFonts w:ascii="Times New Roman" w:hAnsi="Times New Roman" w:cs="Times New Roman" w:hint="cs"/>
        </w:rPr>
        <w:t xml:space="preserve">, forms stacked RBM2 and RBM3 domains that both couple the export gate below and interface with the C-ring above while accommodating symmetry mismatch through local RBM2 deformation (Johnson et al., 2021). The cytoplasmic C-ring built from variable copies of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 and </w:t>
      </w:r>
      <w:proofErr w:type="spellStart"/>
      <w:r w:rsidRPr="00485D9D">
        <w:rPr>
          <w:rFonts w:ascii="Times New Roman" w:hAnsi="Times New Roman" w:cs="Times New Roman" w:hint="cs"/>
        </w:rPr>
        <w:t>FliN</w:t>
      </w:r>
      <w:proofErr w:type="spellEnd"/>
      <w:r w:rsidRPr="00485D9D">
        <w:rPr>
          <w:rFonts w:ascii="Times New Roman" w:hAnsi="Times New Roman" w:cs="Times New Roman" w:hint="cs"/>
        </w:rPr>
        <w:t xml:space="preserve"> functions as the rotor switch complex its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C-terminal ARM repeats dock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stator loops, transducing proton or sodium flux into torque </w:t>
      </w:r>
      <w:r w:rsidRPr="00485D9D">
        <w:rPr>
          <w:rFonts w:ascii="Times New Roman" w:hAnsi="Times New Roman" w:cs="Times New Roman" w:hint="cs"/>
        </w:rPr>
        <w:fldChar w:fldCharType="begin"/>
      </w:r>
      <w:r w:rsidRPr="00485D9D">
        <w:rPr>
          <w:rFonts w:ascii="Times New Roman" w:hAnsi="Times New Roman" w:cs="Times New Roman" w:hint="cs"/>
        </w:rPr>
        <w:instrText xml:space="preserve"> ADDIN ZOTERO_ITEM CSL_CITATION {"citationID":"mNLWnNaO","properties":{"formattedCitation":"(Deme et al., 2020; Santiveri et al., 2020)","plainCitation":"(Deme et al., 2020; Santiveri et al., 2020)","noteIndex":0},"citationItems":[{"id":234,"uris":["http://zotero.org/users/15975276/items/APME8HGV"],"itemData":{"id":234,"type":"article-journal","container-title":"Nature Microbiology","DOI":"10.1038/s41564-020-0788-8","ISSN":"2058-5276","issue":"12","journalAbbreviation":"Nat Microbiol","language":"en","page":"1553-1564","source":"DOI.org (Crossref)","title":"Structures of the stator complex that drives rotation of the bacterial flagellum","volume":"5","author":[{"family":"Deme","given":"Justin C."},{"family":"Johnson","given":"Steven"},{"family":"Vickery","given":"Owen"},{"family":"Aron","given":"Amy"},{"family":"Monkhouse","given":"Holly"},{"family":"Griffiths","given":"Thomas"},{"family":"James","given":"Rory Hennell"},{"family":"Berks","given":"Ben C."},{"family":"Coulton","given":"James W."},{"family":"Stansfeld","given":"Phillip J."},{"family":"Lea","given":"Susan M."}],"issued":{"date-parts":[["2020",9,14]]}}},{"id":102,"uris":["http://zotero.org/users/15975276/items/QILFCE86"],"itemData":{"id":102,"type":"article-journal","abstract":"Many bacteria use the ﬂagellum for locomotion and chemotaxis. Its bidirectional rotation is driven by a membrane-embedded motor, which uses energy from the transmembrane ion gradient to generate torque at the interface between stator units and rotor. The structural organization of the stator unit (MotAB), its conformational changes upon ion transport, and how these changes power rotation of the ﬂagellum remain unknown. Here, we present ~3 A˚ -resolution cryoelectron microscopy reconstructions of the stator unit in different functional states. We show that the stator unit consists of a dimer of MotB surrounded by a pentamer of MotA. Combining structural data with mutagenesis and functional studies, we identify key residues involved in torque generation and present a detailed mechanistic model for motor function and switching of rotational direction.","container-title":"Cell","DOI":"10.1016/j.cell.2020.08.016","ISSN":"00928674","issue":"1","journalAbbreviation":"Cell","language":"en","page":"244-257.e16","source":"DOI.org (Crossref)","title":"Structure and Function of Stator Units of the Bacterial Flagellar Motor","volume":"183","author":[{"family":"Santiveri","given":"Mònica"},{"family":"Roa-Eguiara","given":"Aritz"},{"family":"Kühne","given":"Caroline"},{"family":"Wadhwa","given":"Navish"},{"family":"Hu","given":"Haidai"},{"family":"Berg","given":"Howard C."},{"family":"Erhardt","given":"Marc"},{"family":"Taylor","given":"Nicholas M.I."}],"issued":{"date-parts":[["2020",10]]}}}],"schema":"https://github.com/citation-style-language/schema/raw/master/csl-citation.json"} </w:instrText>
      </w:r>
      <w:r w:rsidRPr="00485D9D">
        <w:rPr>
          <w:rFonts w:ascii="Times New Roman" w:hAnsi="Times New Roman" w:cs="Times New Roman" w:hint="cs"/>
        </w:rPr>
        <w:fldChar w:fldCharType="separate"/>
      </w:r>
      <w:r w:rsidRPr="00485D9D">
        <w:rPr>
          <w:rFonts w:ascii="Times New Roman" w:hAnsi="Times New Roman" w:cs="Times New Roman" w:hint="cs"/>
          <w:noProof/>
        </w:rPr>
        <w:t>(Deme et al., 2020; Santiveri et al., 2020)</w:t>
      </w:r>
      <w:r w:rsidRPr="00485D9D">
        <w:rPr>
          <w:rFonts w:ascii="Times New Roman" w:hAnsi="Times New Roman" w:cs="Times New Roman" w:hint="cs"/>
        </w:rPr>
        <w:fldChar w:fldCharType="end"/>
      </w:r>
      <w:r w:rsidRPr="00485D9D">
        <w:rPr>
          <w:rFonts w:ascii="Times New Roman" w:hAnsi="Times New Roman" w:cs="Times New Roman" w:hint="cs"/>
        </w:rPr>
        <w:t xml:space="preserve">. The resulting concentric symmetry mismatch (C₂₆ LP-ring: C₃₄ MS-ring: C₃²–₃⁶ C-ring) prevents gear-locking and minimizes friction while maintaining axial alignment </w:t>
      </w:r>
      <w:r w:rsidRPr="00485D9D">
        <w:rPr>
          <w:rFonts w:ascii="Times New Roman" w:hAnsi="Times New Roman" w:cs="Times New Roman" w:hint="cs"/>
        </w:rPr>
        <w:fldChar w:fldCharType="begin"/>
      </w:r>
      <w:r w:rsidRPr="00485D9D">
        <w:rPr>
          <w:rFonts w:ascii="Times New Roman" w:hAnsi="Times New Roman" w:cs="Times New Roman" w:hint="cs"/>
        </w:rPr>
        <w:instrText xml:space="preserve"> ADDIN ZOTERO_ITEM CSL_CITATION {"citationID":"EgCmUMhM","properties":{"formattedCitation":"(Johnson et al., 2021)","plainCitation":"(Johnson et al., 2021)","noteIndex":0},"citationItems":[{"id":210,"uris":["http://zotero.org/users/15975276/items/3MKKF3XF"],"itemData":{"id":210,"type":"article-journal","container-title":"Nature Microbiology","DOI":"10.1038/s41564-021-00895-y","ISSN":"2058-5276","issue":"6","journalAbbreviation":"Nat Microbiol","language":"en","page":"712-721","source":"DOI.org (Crossref)","title":"Molecular structure of the intact bacterial flagellar basal body","volume":"6","author":[{"family":"Johnson","given":"Steven"},{"family":"Furlong","given":"Emily J."},{"family":"Deme","given":"Justin C."},{"family":"Nord","given":"Ashley L."},{"family":"Caesar","given":"Joseph J. E."},{"family":"Chevance","given":"Fabienne F. V."},{"family":"Berry","given":"Richard M."},{"family":"Hughes","given":"Kelly T."},{"family":"Lea","given":"Susan M."}],"issued":{"date-parts":[["2021",4,30]]}}}],"schema":"https://github.com/citation-style-language/schema/raw/master/csl-citation.json"} </w:instrText>
      </w:r>
      <w:r w:rsidRPr="00485D9D">
        <w:rPr>
          <w:rFonts w:ascii="Times New Roman" w:hAnsi="Times New Roman" w:cs="Times New Roman" w:hint="cs"/>
        </w:rPr>
        <w:fldChar w:fldCharType="separate"/>
      </w:r>
      <w:r w:rsidRPr="00485D9D">
        <w:rPr>
          <w:rFonts w:ascii="Times New Roman" w:hAnsi="Times New Roman" w:cs="Times New Roman" w:hint="cs"/>
          <w:noProof/>
        </w:rPr>
        <w:t>(Johnson et al., 2021)</w:t>
      </w:r>
      <w:r w:rsidRPr="00485D9D">
        <w:rPr>
          <w:rFonts w:ascii="Times New Roman" w:hAnsi="Times New Roman" w:cs="Times New Roman" w:hint="cs"/>
        </w:rPr>
        <w:fldChar w:fldCharType="end"/>
      </w:r>
      <w:r w:rsidRPr="00485D9D">
        <w:rPr>
          <w:rFonts w:ascii="Times New Roman" w:hAnsi="Times New Roman" w:cs="Times New Roman" w:hint="cs"/>
        </w:rPr>
        <w:t xml:space="preserve">. Finally, a pentameric </w:t>
      </w:r>
      <w:proofErr w:type="spellStart"/>
      <w:r w:rsidRPr="00485D9D">
        <w:rPr>
          <w:rFonts w:ascii="Times New Roman" w:hAnsi="Times New Roman" w:cs="Times New Roman" w:hint="cs"/>
        </w:rPr>
        <w:t>FlgD</w:t>
      </w:r>
      <w:proofErr w:type="spellEnd"/>
      <w:r w:rsidRPr="00485D9D">
        <w:rPr>
          <w:rFonts w:ascii="Times New Roman" w:hAnsi="Times New Roman" w:cs="Times New Roman" w:hint="cs"/>
        </w:rPr>
        <w:t xml:space="preserve"> cap atop the distal rod operates as a stepped "revolver" that sequentially exposes binding sites for hook subunits, ensuring helical continuity between the rod and filament (Johnson et al., 2021). </w:t>
      </w:r>
    </w:p>
    <w:p w:rsidR="00ED777B" w:rsidRPr="00682329" w:rsidRDefault="00ED777B" w:rsidP="00E4450E">
      <w:pPr>
        <w:spacing w:line="360" w:lineRule="auto"/>
        <w:rPr>
          <w:rFonts w:ascii="Times New Roman" w:hAnsi="Times New Roman" w:cs="Times New Roman"/>
          <w:u w:val="single"/>
        </w:rPr>
      </w:pPr>
    </w:p>
    <w:p w:rsidR="006C37CC" w:rsidRDefault="006C37CC" w:rsidP="00E4450E">
      <w:pPr>
        <w:spacing w:line="360" w:lineRule="auto"/>
        <w:rPr>
          <w:rFonts w:ascii="Times New Roman" w:hAnsi="Times New Roman" w:cs="Times New Roman"/>
          <w:u w:val="single"/>
        </w:rPr>
      </w:pPr>
      <w:r w:rsidRPr="00682329">
        <w:rPr>
          <w:rFonts w:ascii="Times New Roman" w:hAnsi="Times New Roman" w:cs="Times New Roman" w:hint="cs"/>
          <w:u w:val="single"/>
        </w:rPr>
        <w:t>Architecture of the Flagellar Basal Body</w:t>
      </w:r>
    </w:p>
    <w:p w:rsidR="00E4450E" w:rsidRPr="00682329" w:rsidRDefault="00E4450E" w:rsidP="00E4450E">
      <w:pPr>
        <w:spacing w:line="360" w:lineRule="auto"/>
        <w:rPr>
          <w:rFonts w:ascii="Times New Roman" w:hAnsi="Times New Roman" w:cs="Times New Roman"/>
          <w:u w:val="single"/>
        </w:rPr>
      </w:pPr>
    </w:p>
    <w:p w:rsidR="00E4450E" w:rsidRPr="00485D9D" w:rsidRDefault="006C37CC" w:rsidP="00E4450E">
      <w:pPr>
        <w:spacing w:line="360" w:lineRule="auto"/>
        <w:rPr>
          <w:rFonts w:ascii="Times New Roman" w:hAnsi="Times New Roman" w:cs="Times New Roman"/>
        </w:rPr>
      </w:pPr>
      <w:r w:rsidRPr="00485D9D">
        <w:rPr>
          <w:rFonts w:ascii="Times New Roman" w:hAnsi="Times New Roman" w:cs="Times New Roman" w:hint="cs"/>
        </w:rPr>
        <w:t xml:space="preserve">The flagellar basal body is a membrane-spanning nanomachine that anchors the bacterial flagellum and converts electrochemical ion gradients into the high-speed rotation of an extracellular filament (Berg, 2003; Erhardt et al., 2010). High-resolution cryo-EM maps of intact Salmonella enterica basal bodies (2.2–3.7 Å) reveal a concentric, four-layer architecture comprising the LP-ring, rod, MS-ring, and C-ring, assembled from &gt;170 protein chains of 13 different types (Johnson et al., 2021). The outermost LP-ring built from 26 copies each of </w:t>
      </w:r>
      <w:proofErr w:type="spellStart"/>
      <w:r w:rsidRPr="00485D9D">
        <w:rPr>
          <w:rFonts w:ascii="Times New Roman" w:hAnsi="Times New Roman" w:cs="Times New Roman" w:hint="cs"/>
        </w:rPr>
        <w:t>FlgH</w:t>
      </w:r>
      <w:proofErr w:type="spellEnd"/>
      <w:r w:rsidRPr="00485D9D">
        <w:rPr>
          <w:rFonts w:ascii="Times New Roman" w:hAnsi="Times New Roman" w:cs="Times New Roman" w:hint="cs"/>
        </w:rPr>
        <w:t xml:space="preserve"> (L-ring) and </w:t>
      </w:r>
      <w:proofErr w:type="spellStart"/>
      <w:r w:rsidRPr="00485D9D">
        <w:rPr>
          <w:rFonts w:ascii="Times New Roman" w:hAnsi="Times New Roman" w:cs="Times New Roman" w:hint="cs"/>
        </w:rPr>
        <w:t>FlgI</w:t>
      </w:r>
      <w:proofErr w:type="spellEnd"/>
      <w:r w:rsidRPr="00485D9D">
        <w:rPr>
          <w:rFonts w:ascii="Times New Roman" w:hAnsi="Times New Roman" w:cs="Times New Roman" w:hint="cs"/>
        </w:rPr>
        <w:t xml:space="preserve"> (P-ring) acts as a hydrophobic, lipid-anchored bushing embedded in the outer membrane and peptidoglycan, respectively; its invariant 26-fold symmetry correlates with discrete </w:t>
      </w:r>
      <w:r w:rsidRPr="00485D9D">
        <w:rPr>
          <w:rFonts w:ascii="Cambria Math" w:hAnsi="Cambria Math" w:cs="Cambria Math"/>
        </w:rPr>
        <w:t>∼</w:t>
      </w:r>
      <w:r w:rsidRPr="00485D9D">
        <w:rPr>
          <w:rFonts w:ascii="Times New Roman" w:hAnsi="Times New Roman" w:cs="Times New Roman" w:hint="cs"/>
        </w:rPr>
        <w:t xml:space="preserve">13.8° stepping observed in partially energized motors, suggesting that the LP-ring provides a static interaction potential for rotation (Johnson et al., 2021). Nested inside the LP-ring, the axial rod serves as a rigid drive shaft assembled helically from </w:t>
      </w:r>
      <w:proofErr w:type="spellStart"/>
      <w:r w:rsidRPr="00485D9D">
        <w:rPr>
          <w:rFonts w:ascii="Times New Roman" w:hAnsi="Times New Roman" w:cs="Times New Roman" w:hint="cs"/>
        </w:rPr>
        <w:t>FliE</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FlgB</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FlgC</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FlgF</w:t>
      </w:r>
      <w:proofErr w:type="spellEnd"/>
      <w:r w:rsidRPr="00485D9D">
        <w:rPr>
          <w:rFonts w:ascii="Times New Roman" w:hAnsi="Times New Roman" w:cs="Times New Roman" w:hint="cs"/>
        </w:rPr>
        <w:t xml:space="preserve">, and three conformers of </w:t>
      </w:r>
      <w:proofErr w:type="spellStart"/>
      <w:r w:rsidRPr="00485D9D">
        <w:rPr>
          <w:rFonts w:ascii="Times New Roman" w:hAnsi="Times New Roman" w:cs="Times New Roman" w:hint="cs"/>
        </w:rPr>
        <w:t>FlgG</w:t>
      </w:r>
      <w:proofErr w:type="spellEnd"/>
      <w:r w:rsidRPr="00485D9D">
        <w:rPr>
          <w:rFonts w:ascii="Times New Roman" w:hAnsi="Times New Roman" w:cs="Times New Roman" w:hint="cs"/>
        </w:rPr>
        <w:t xml:space="preserve"> and is nucleated by the type III export gate whose </w:t>
      </w:r>
      <w:proofErr w:type="spellStart"/>
      <w:r w:rsidRPr="00485D9D">
        <w:rPr>
          <w:rFonts w:ascii="Times New Roman" w:hAnsi="Times New Roman" w:cs="Times New Roman" w:hint="cs"/>
        </w:rPr>
        <w:t>FliP</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FliQ</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FliR</w:t>
      </w:r>
      <w:proofErr w:type="spellEnd"/>
      <w:r w:rsidRPr="00485D9D">
        <w:rPr>
          <w:rFonts w:ascii="Times New Roman" w:hAnsi="Times New Roman" w:cs="Times New Roman" w:hint="cs"/>
        </w:rPr>
        <w:t xml:space="preserve"> core seeds ten protofilaments while </w:t>
      </w:r>
      <w:proofErr w:type="spellStart"/>
      <w:r w:rsidRPr="00485D9D">
        <w:rPr>
          <w:rFonts w:ascii="Times New Roman" w:hAnsi="Times New Roman" w:cs="Times New Roman" w:hint="cs"/>
        </w:rPr>
        <w:t>FliR</w:t>
      </w:r>
      <w:proofErr w:type="spellEnd"/>
      <w:r w:rsidRPr="00485D9D">
        <w:rPr>
          <w:rFonts w:ascii="Times New Roman" w:hAnsi="Times New Roman" w:cs="Times New Roman" w:hint="cs"/>
        </w:rPr>
        <w:t xml:space="preserve"> seeds an eleventh, thereby propagating a 5.5-subunit-per-turn lattice (Johnson et al., 2021).</w:t>
      </w:r>
    </w:p>
    <w:p w:rsidR="006C37CC" w:rsidRPr="00485D9D" w:rsidRDefault="006C37CC" w:rsidP="00E4450E">
      <w:pPr>
        <w:spacing w:line="360" w:lineRule="auto"/>
        <w:rPr>
          <w:rFonts w:ascii="Times New Roman" w:hAnsi="Times New Roman" w:cs="Times New Roman"/>
        </w:rPr>
      </w:pPr>
      <w:r w:rsidRPr="00485D9D">
        <w:rPr>
          <w:rFonts w:ascii="Times New Roman" w:hAnsi="Times New Roman" w:cs="Times New Roman" w:hint="cs"/>
        </w:rPr>
        <w:t xml:space="preserve">At the inner membrane, the 34-mer MS-ring, composed solely of </w:t>
      </w:r>
      <w:proofErr w:type="spellStart"/>
      <w:r w:rsidRPr="00485D9D">
        <w:rPr>
          <w:rFonts w:ascii="Times New Roman" w:hAnsi="Times New Roman" w:cs="Times New Roman" w:hint="cs"/>
        </w:rPr>
        <w:t>FliF</w:t>
      </w:r>
      <w:proofErr w:type="spellEnd"/>
      <w:r w:rsidRPr="00485D9D">
        <w:rPr>
          <w:rFonts w:ascii="Times New Roman" w:hAnsi="Times New Roman" w:cs="Times New Roman" w:hint="cs"/>
        </w:rPr>
        <w:t xml:space="preserve">, forms stacked RBM2 and RBM3 domains that both couple the export gate below and interface with the C-ring above while accommodating symmetry mismatch through local RBM2 deformation (Johnson et al., 2021). The cytoplasmic C-ring built from variable copies of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 and </w:t>
      </w:r>
      <w:proofErr w:type="spellStart"/>
      <w:r w:rsidRPr="00485D9D">
        <w:rPr>
          <w:rFonts w:ascii="Times New Roman" w:hAnsi="Times New Roman" w:cs="Times New Roman" w:hint="cs"/>
        </w:rPr>
        <w:t>FliN</w:t>
      </w:r>
      <w:proofErr w:type="spellEnd"/>
      <w:r w:rsidRPr="00485D9D">
        <w:rPr>
          <w:rFonts w:ascii="Times New Roman" w:hAnsi="Times New Roman" w:cs="Times New Roman" w:hint="cs"/>
        </w:rPr>
        <w:t xml:space="preserve"> functions as the rotor switch complex its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C-terminal ARM repeats dock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stator loops, transducing proton or sodium flux into torque (Deme et al., 2020; </w:t>
      </w:r>
      <w:proofErr w:type="spellStart"/>
      <w:r w:rsidRPr="00485D9D">
        <w:rPr>
          <w:rFonts w:ascii="Times New Roman" w:hAnsi="Times New Roman" w:cs="Times New Roman" w:hint="cs"/>
        </w:rPr>
        <w:t>Santiveri</w:t>
      </w:r>
      <w:proofErr w:type="spellEnd"/>
      <w:r w:rsidRPr="00485D9D">
        <w:rPr>
          <w:rFonts w:ascii="Times New Roman" w:hAnsi="Times New Roman" w:cs="Times New Roman" w:hint="cs"/>
        </w:rPr>
        <w:t xml:space="preserve"> et al., 2020). The resulting concentric symmetry mismatch (C₂₆ LP-ring: C₃₄ MS-ring: C₃²–₃⁶ C-ring) prevents gear-locking and minimizes friction while maintaining axial alignment (Johnson et al., 2021). Finally, a pentameric </w:t>
      </w:r>
      <w:proofErr w:type="spellStart"/>
      <w:r w:rsidRPr="00485D9D">
        <w:rPr>
          <w:rFonts w:ascii="Times New Roman" w:hAnsi="Times New Roman" w:cs="Times New Roman" w:hint="cs"/>
        </w:rPr>
        <w:t>FlgD</w:t>
      </w:r>
      <w:proofErr w:type="spellEnd"/>
      <w:r w:rsidRPr="00485D9D">
        <w:rPr>
          <w:rFonts w:ascii="Times New Roman" w:hAnsi="Times New Roman" w:cs="Times New Roman" w:hint="cs"/>
        </w:rPr>
        <w:t xml:space="preserve"> cap atop the distal rod operates as a stepped "revolver" that sequentially exposes binding sites for hook subunits, ensuring helical continuity between the rod and filament (Johnson et al., 2021).</w:t>
      </w:r>
    </w:p>
    <w:p w:rsidR="006C37CC" w:rsidRPr="00485D9D" w:rsidRDefault="006C37CC" w:rsidP="00E4450E">
      <w:pPr>
        <w:spacing w:line="360" w:lineRule="auto"/>
        <w:rPr>
          <w:rFonts w:ascii="Times New Roman" w:hAnsi="Times New Roman" w:cs="Times New Roman"/>
        </w:rPr>
      </w:pPr>
    </w:p>
    <w:p w:rsidR="00E4450E" w:rsidRDefault="00E4450E" w:rsidP="00E4450E">
      <w:pPr>
        <w:spacing w:line="360" w:lineRule="auto"/>
        <w:rPr>
          <w:rFonts w:ascii="Times New Roman" w:hAnsi="Times New Roman" w:cs="Times New Roman"/>
          <w:u w:val="single"/>
        </w:rPr>
      </w:pPr>
    </w:p>
    <w:p w:rsidR="00E4450E" w:rsidRDefault="00E4450E" w:rsidP="00E4450E">
      <w:pPr>
        <w:spacing w:line="360" w:lineRule="auto"/>
        <w:rPr>
          <w:rFonts w:ascii="Times New Roman" w:hAnsi="Times New Roman" w:cs="Times New Roman"/>
          <w:u w:val="single"/>
        </w:rPr>
      </w:pPr>
    </w:p>
    <w:p w:rsidR="00E4450E" w:rsidRDefault="00E4450E" w:rsidP="00E4450E">
      <w:pPr>
        <w:spacing w:line="360" w:lineRule="auto"/>
        <w:rPr>
          <w:rFonts w:ascii="Times New Roman" w:hAnsi="Times New Roman" w:cs="Times New Roman"/>
          <w:u w:val="single"/>
        </w:rPr>
      </w:pPr>
    </w:p>
    <w:p w:rsidR="006C37CC" w:rsidRDefault="00ED777B" w:rsidP="00E4450E">
      <w:pPr>
        <w:spacing w:line="360" w:lineRule="auto"/>
        <w:rPr>
          <w:rFonts w:ascii="Times New Roman" w:hAnsi="Times New Roman" w:cs="Times New Roman"/>
          <w:u w:val="single"/>
        </w:rPr>
      </w:pPr>
      <w:r w:rsidRPr="004D6FCB">
        <w:rPr>
          <w:rFonts w:ascii="Times New Roman" w:hAnsi="Times New Roman" w:cs="Times New Roman" w:hint="cs"/>
          <w:u w:val="single"/>
        </w:rPr>
        <w:t>T</w:t>
      </w:r>
      <w:r w:rsidR="006C37CC" w:rsidRPr="004D6FCB">
        <w:rPr>
          <w:rFonts w:ascii="Times New Roman" w:hAnsi="Times New Roman" w:cs="Times New Roman" w:hint="cs"/>
          <w:u w:val="single"/>
        </w:rPr>
        <w:t>orqu</w:t>
      </w:r>
      <w:r w:rsidRPr="004D6FCB">
        <w:rPr>
          <w:rFonts w:ascii="Times New Roman" w:hAnsi="Times New Roman" w:cs="Times New Roman" w:hint="cs"/>
          <w:u w:val="single"/>
        </w:rPr>
        <w:t>e</w:t>
      </w:r>
      <w:r w:rsidR="006C37CC" w:rsidRPr="004D6FCB">
        <w:rPr>
          <w:rFonts w:ascii="Times New Roman" w:hAnsi="Times New Roman" w:cs="Times New Roman" w:hint="cs"/>
          <w:u w:val="single"/>
        </w:rPr>
        <w:t xml:space="preserve"> genera</w:t>
      </w:r>
      <w:r w:rsidRPr="004D6FCB">
        <w:rPr>
          <w:rFonts w:ascii="Times New Roman" w:hAnsi="Times New Roman" w:cs="Times New Roman" w:hint="cs"/>
          <w:u w:val="single"/>
        </w:rPr>
        <w:t>tion</w:t>
      </w:r>
    </w:p>
    <w:p w:rsidR="00E4450E" w:rsidRPr="004D6FCB" w:rsidRDefault="00E4450E" w:rsidP="00E4450E">
      <w:pPr>
        <w:spacing w:line="360" w:lineRule="auto"/>
        <w:rPr>
          <w:rFonts w:ascii="Times New Roman" w:hAnsi="Times New Roman" w:cs="Times New Roman"/>
          <w:u w:val="single"/>
        </w:rPr>
      </w:pPr>
    </w:p>
    <w:p w:rsidR="00E4450E" w:rsidRPr="00485D9D" w:rsidRDefault="00ED777B" w:rsidP="00E4450E">
      <w:pPr>
        <w:spacing w:line="360" w:lineRule="auto"/>
        <w:rPr>
          <w:rFonts w:ascii="Times New Roman" w:hAnsi="Times New Roman" w:cs="Times New Roman"/>
        </w:rPr>
      </w:pP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constitutes the cytoplasmic C-ring, the central hub that interfaces with the MS-ring and stator complexes to generate bidirectional torque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Its tripartite domain architecture enables this function. The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-N domain co-folds with the C-terminus of </w:t>
      </w:r>
      <w:proofErr w:type="spellStart"/>
      <w:r w:rsidRPr="00485D9D">
        <w:rPr>
          <w:rFonts w:ascii="Times New Roman" w:hAnsi="Times New Roman" w:cs="Times New Roman" w:hint="cs"/>
        </w:rPr>
        <w:t>FliF</w:t>
      </w:r>
      <w:proofErr w:type="spellEnd"/>
      <w:r w:rsidRPr="00485D9D">
        <w:rPr>
          <w:rFonts w:ascii="Times New Roman" w:hAnsi="Times New Roman" w:cs="Times New Roman" w:hint="cs"/>
        </w:rPr>
        <w:t xml:space="preserve"> via a split ARM-like motif, creating an interlocked rotor chassis with strict 1:1 stoichiometry. This interaction nucleates the C-ring assembly and provides membrane anchorage for the rotor complex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The middle domain,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-M, forms the structural core of the rotor barrel while simultaneously binding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 to bridge torque generation with chemotactic signaling cascades (Brown, 2002; Lee et al., 2010). Critically, the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-C domain hosts the conserved "torque helix," a lysine/arginine-rich amphipathic α-helix that functions as the stator's primary lever arm. Electrostatic surfaces on this helix guide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binding, while steric clashes during stator activation drive rotational power strokes (Tan et al., 2024).</w:t>
      </w:r>
    </w:p>
    <w:p w:rsidR="00ED777B" w:rsidRDefault="00ED777B" w:rsidP="00E4450E">
      <w:pPr>
        <w:spacing w:line="360" w:lineRule="auto"/>
        <w:rPr>
          <w:rFonts w:ascii="Times New Roman" w:hAnsi="Times New Roman" w:cs="Times New Roman"/>
        </w:rPr>
      </w:pPr>
      <w:r w:rsidRPr="00485D9D">
        <w:rPr>
          <w:rFonts w:ascii="Times New Roman" w:hAnsi="Times New Roman" w:cs="Times New Roman" w:hint="cs"/>
        </w:rPr>
        <w:t xml:space="preserve">Evolutionary adaptations demonstrate how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architecture enables torque amplification. Species such as ε-proteobacteria widen the C-ring diameter or incorporate additional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copies (up to 45 subunits), increasing the lever radius to achieve 3–4-fold higher torque than enteric bacteria like E. coli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Directional switching is orchestrated through allosteric control of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-C. Phosphorylated </w:t>
      </w:r>
      <w:proofErr w:type="spellStart"/>
      <w:r w:rsidRPr="00485D9D">
        <w:rPr>
          <w:rFonts w:ascii="Times New Roman" w:hAnsi="Times New Roman" w:cs="Times New Roman" w:hint="cs"/>
        </w:rPr>
        <w:t>CheY</w:t>
      </w:r>
      <w:proofErr w:type="spellEnd"/>
      <w:r w:rsidRPr="00485D9D">
        <w:rPr>
          <w:rFonts w:ascii="Times New Roman" w:hAnsi="Times New Roman" w:cs="Times New Roman" w:hint="cs"/>
        </w:rPr>
        <w:t xml:space="preserve"> (</w:t>
      </w:r>
      <w:proofErr w:type="spellStart"/>
      <w:r w:rsidRPr="00485D9D">
        <w:rPr>
          <w:rFonts w:ascii="Times New Roman" w:hAnsi="Times New Roman" w:cs="Times New Roman" w:hint="cs"/>
        </w:rPr>
        <w:t>CheY</w:t>
      </w:r>
      <w:proofErr w:type="spellEnd"/>
      <w:r w:rsidRPr="00485D9D">
        <w:rPr>
          <w:rFonts w:ascii="Times New Roman" w:hAnsi="Times New Roman" w:cs="Times New Roman" w:hint="cs"/>
        </w:rPr>
        <w:t xml:space="preserve">-P) binding to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FliN</w:t>
      </w:r>
      <w:proofErr w:type="spellEnd"/>
      <w:r w:rsidRPr="00485D9D">
        <w:rPr>
          <w:rFonts w:ascii="Times New Roman" w:hAnsi="Times New Roman" w:cs="Times New Roman" w:hint="cs"/>
        </w:rPr>
        <w:t xml:space="preserve"> induces a 180° rotation in the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-C torque helix (Sarkar et al., 2010). This reorients electrostatic complementarity with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flipping motor rotation from counterclockwise (CCW) to clockwise (CW) in &lt;1 </w:t>
      </w:r>
      <w:proofErr w:type="spellStart"/>
      <w:r w:rsidRPr="00485D9D">
        <w:rPr>
          <w:rFonts w:ascii="Times New Roman" w:hAnsi="Times New Roman" w:cs="Times New Roman" w:hint="cs"/>
        </w:rPr>
        <w:t>ms</w:t>
      </w:r>
      <w:proofErr w:type="spellEnd"/>
      <w:r w:rsidRPr="00485D9D">
        <w:rPr>
          <w:rFonts w:ascii="Times New Roman" w:hAnsi="Times New Roman" w:cs="Times New Roman" w:hint="cs"/>
        </w:rPr>
        <w:t xml:space="preserve"> (Figure 1), a switch critical for chemotactic reorientation (Yuan &amp; Berg, 2008).</w:t>
      </w:r>
    </w:p>
    <w:p w:rsidR="004D6FCB" w:rsidRDefault="004D6FCB" w:rsidP="00E4450E">
      <w:pPr>
        <w:spacing w:line="360" w:lineRule="auto"/>
        <w:rPr>
          <w:rFonts w:ascii="Times New Roman" w:hAnsi="Times New Roman" w:cs="Times New Roman"/>
        </w:rPr>
      </w:pPr>
    </w:p>
    <w:p w:rsidR="004D6FCB" w:rsidRPr="00485D9D" w:rsidRDefault="004D6FCB" w:rsidP="00E4450E">
      <w:pPr>
        <w:spacing w:line="360" w:lineRule="auto"/>
        <w:rPr>
          <w:rFonts w:ascii="Times New Roman" w:hAnsi="Times New Roman" w:cs="Times New Roman"/>
        </w:rPr>
      </w:pPr>
      <w:r>
        <w:rPr>
          <w:rFonts w:ascii="Times New Roman" w:hAnsi="Times New Roman" w:cs="Times New Roman" w:hint="cs"/>
          <w:noProof/>
        </w:rPr>
        <w:lastRenderedPageBreak/>
        <w:drawing>
          <wp:inline distT="0" distB="0" distL="0" distR="0">
            <wp:extent cx="5943600" cy="4051300"/>
            <wp:effectExtent l="0" t="0" r="0" b="0"/>
            <wp:docPr id="89836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60120" name="Picture 898360120"/>
                    <pic:cNvPicPr/>
                  </pic:nvPicPr>
                  <pic:blipFill>
                    <a:blip r:embed="rId4">
                      <a:extLst>
                        <a:ext uri="{28A0092B-C50C-407E-A947-70E740481C1C}">
                          <a14:useLocalDpi xmlns:a14="http://schemas.microsoft.com/office/drawing/2010/main" val="0"/>
                        </a:ext>
                      </a:extLst>
                    </a:blip>
                    <a:stretch>
                      <a:fillRect/>
                    </a:stretch>
                  </pic:blipFill>
                  <pic:spPr>
                    <a:xfrm>
                      <a:off x="0" y="0"/>
                      <a:ext cx="5943600" cy="4051300"/>
                    </a:xfrm>
                    <a:prstGeom prst="rect">
                      <a:avLst/>
                    </a:prstGeom>
                  </pic:spPr>
                </pic:pic>
              </a:graphicData>
            </a:graphic>
          </wp:inline>
        </w:drawing>
      </w:r>
    </w:p>
    <w:p w:rsidR="00ED777B" w:rsidRPr="00485D9D" w:rsidRDefault="00ED777B" w:rsidP="00E4450E">
      <w:pPr>
        <w:spacing w:line="360" w:lineRule="auto"/>
        <w:rPr>
          <w:rFonts w:ascii="Times New Roman" w:hAnsi="Times New Roman" w:cs="Times New Roman"/>
        </w:rPr>
      </w:pPr>
    </w:p>
    <w:p w:rsidR="00ED777B" w:rsidRPr="00485D9D" w:rsidRDefault="00ED777B" w:rsidP="00E4450E">
      <w:pPr>
        <w:spacing w:line="360" w:lineRule="auto"/>
        <w:rPr>
          <w:rFonts w:ascii="Times New Roman" w:hAnsi="Times New Roman" w:cs="Times New Roman"/>
        </w:rPr>
      </w:pPr>
    </w:p>
    <w:p w:rsidR="00ED777B" w:rsidRPr="00485D9D" w:rsidRDefault="00ED777B" w:rsidP="00E4450E">
      <w:pPr>
        <w:spacing w:line="360" w:lineRule="auto"/>
        <w:rPr>
          <w:rFonts w:ascii="Times New Roman" w:hAnsi="Times New Roman" w:cs="Times New Roman"/>
        </w:rPr>
      </w:pPr>
      <w:r w:rsidRPr="00485D9D">
        <w:rPr>
          <w:rFonts w:ascii="Times New Roman" w:hAnsi="Times New Roman" w:cs="Times New Roman" w:hint="cs"/>
        </w:rPr>
        <w:t xml:space="preserve">Figure 1:  A structural overview of bacterial flagellum illustrating </w:t>
      </w:r>
      <w:proofErr w:type="spellStart"/>
      <w:r w:rsidRPr="00485D9D">
        <w:rPr>
          <w:rFonts w:ascii="Times New Roman" w:hAnsi="Times New Roman" w:cs="Times New Roman" w:hint="cs"/>
        </w:rPr>
        <w:t>counterwise</w:t>
      </w:r>
      <w:proofErr w:type="spellEnd"/>
      <w:r w:rsidRPr="00485D9D">
        <w:rPr>
          <w:rFonts w:ascii="Times New Roman" w:hAnsi="Times New Roman" w:cs="Times New Roman" w:hint="cs"/>
        </w:rPr>
        <w:t xml:space="preserve"> (CCW) rotation associated with smooth swimming and clockwise (CW) rotation associated with tumbling, highlights the primary structural components: the filament, hook, basal body, rotor (MS-ring and C-ring), and stator units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MotB</w:t>
      </w:r>
      <w:proofErr w:type="spellEnd"/>
      <w:r w:rsidRPr="00485D9D">
        <w:rPr>
          <w:rFonts w:ascii="Times New Roman" w:hAnsi="Times New Roman" w:cs="Times New Roman" w:hint="cs"/>
        </w:rPr>
        <w:t xml:space="preserve"> complexes). The basal body spans the bacterial inner membrane, peptidoglycan layer, and outer membrane, facilitating torque transmission and directional switching (Johnson et al., 2024).</w:t>
      </w:r>
    </w:p>
    <w:p w:rsidR="00ED777B" w:rsidRPr="00485D9D" w:rsidRDefault="00ED777B" w:rsidP="00E4450E">
      <w:pPr>
        <w:spacing w:line="360" w:lineRule="auto"/>
        <w:rPr>
          <w:rFonts w:ascii="Times New Roman" w:hAnsi="Times New Roman" w:cs="Times New Roman"/>
        </w:rPr>
      </w:pPr>
    </w:p>
    <w:p w:rsidR="00ED777B" w:rsidRPr="00485D9D" w:rsidRDefault="00ED777B" w:rsidP="00E4450E">
      <w:pPr>
        <w:spacing w:line="360" w:lineRule="auto"/>
        <w:rPr>
          <w:rFonts w:ascii="Times New Roman" w:hAnsi="Times New Roman" w:cs="Times New Roman"/>
        </w:rPr>
      </w:pPr>
      <w:r w:rsidRPr="00485D9D">
        <w:rPr>
          <w:rFonts w:ascii="Times New Roman" w:hAnsi="Times New Roman" w:cs="Times New Roman" w:hint="cs"/>
        </w:rPr>
        <w:t xml:space="preserve">The rotor is surrounded by the stator layer, formed by multiple </w:t>
      </w:r>
      <w:proofErr w:type="spellStart"/>
      <w:r w:rsidRPr="00485D9D">
        <w:rPr>
          <w:rFonts w:ascii="Times New Roman" w:hAnsi="Times New Roman" w:cs="Times New Roman" w:hint="cs"/>
        </w:rPr>
        <w:t>MotA₅MotB</w:t>
      </w:r>
      <w:proofErr w:type="spellEnd"/>
      <w:r w:rsidRPr="00485D9D">
        <w:rPr>
          <w:rFonts w:ascii="Times New Roman" w:hAnsi="Times New Roman" w:cs="Times New Roman" w:hint="cs"/>
        </w:rPr>
        <w:t>₂ complexes (</w:t>
      </w:r>
      <w:proofErr w:type="spellStart"/>
      <w:r w:rsidRPr="00485D9D">
        <w:rPr>
          <w:rFonts w:ascii="Times New Roman" w:hAnsi="Times New Roman" w:cs="Times New Roman" w:hint="cs"/>
        </w:rPr>
        <w:t>Rieu</w:t>
      </w:r>
      <w:proofErr w:type="spellEnd"/>
      <w:r w:rsidRPr="00485D9D">
        <w:rPr>
          <w:rFonts w:ascii="Times New Roman" w:hAnsi="Times New Roman" w:cs="Times New Roman" w:hint="cs"/>
        </w:rPr>
        <w:t xml:space="preserve"> et al., 2022; Tan et al., 2024; Yamaguchi et al., 2021). Each </w:t>
      </w:r>
      <w:proofErr w:type="spellStart"/>
      <w:r w:rsidRPr="00485D9D">
        <w:rPr>
          <w:rFonts w:ascii="Times New Roman" w:hAnsi="Times New Roman" w:cs="Times New Roman" w:hint="cs"/>
        </w:rPr>
        <w:t>MotB</w:t>
      </w:r>
      <w:proofErr w:type="spellEnd"/>
      <w:r w:rsidRPr="00485D9D">
        <w:rPr>
          <w:rFonts w:ascii="Times New Roman" w:hAnsi="Times New Roman" w:cs="Times New Roman" w:hint="cs"/>
        </w:rPr>
        <w:t xml:space="preserve"> dimer anchors to peptidoglycan via its </w:t>
      </w:r>
      <w:proofErr w:type="spellStart"/>
      <w:r w:rsidRPr="00485D9D">
        <w:rPr>
          <w:rFonts w:ascii="Times New Roman" w:hAnsi="Times New Roman" w:cs="Times New Roman" w:hint="cs"/>
        </w:rPr>
        <w:t>OmpA</w:t>
      </w:r>
      <w:proofErr w:type="spellEnd"/>
      <w:r w:rsidRPr="00485D9D">
        <w:rPr>
          <w:rFonts w:ascii="Times New Roman" w:hAnsi="Times New Roman" w:cs="Times New Roman" w:hint="cs"/>
        </w:rPr>
        <w:t xml:space="preserve">-like periplasmic domain, while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pentamers create annular proton channels (</w:t>
      </w:r>
      <w:proofErr w:type="spellStart"/>
      <w:r w:rsidRPr="00485D9D">
        <w:rPr>
          <w:rFonts w:ascii="Times New Roman" w:hAnsi="Times New Roman" w:cs="Times New Roman" w:hint="cs"/>
        </w:rPr>
        <w:t>Santiveri</w:t>
      </w:r>
      <w:proofErr w:type="spellEnd"/>
      <w:r w:rsidRPr="00485D9D">
        <w:rPr>
          <w:rFonts w:ascii="Times New Roman" w:hAnsi="Times New Roman" w:cs="Times New Roman" w:hint="cs"/>
        </w:rPr>
        <w:t xml:space="preserve"> et al., 2020). Protonation of MotB-Asp32 induces a "kink-and-swivel" in adjacent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transmembrane helices (Nishihara &amp; Kitao, 2015); conformational cycling delivers sequential electrostatic pushes to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-C torque helices, advancing the rotor in discrete 16° steps </w:t>
      </w:r>
      <w:r w:rsidRPr="00485D9D">
        <w:rPr>
          <w:rFonts w:ascii="Times New Roman" w:hAnsi="Times New Roman" w:cs="Times New Roman" w:hint="cs"/>
        </w:rPr>
        <w:lastRenderedPageBreak/>
        <w:t xml:space="preserve">(Tan et al., 2024). High-torque motors (e.g., </w:t>
      </w:r>
      <w:proofErr w:type="spellStart"/>
      <w:r w:rsidRPr="00485D9D">
        <w:rPr>
          <w:rFonts w:ascii="Times New Roman" w:hAnsi="Times New Roman" w:cs="Times New Roman" w:hint="cs"/>
        </w:rPr>
        <w:t>Paenibacillus</w:t>
      </w:r>
      <w:proofErr w:type="spellEnd"/>
      <w:r w:rsidRPr="00485D9D">
        <w:rPr>
          <w:rFonts w:ascii="Times New Roman" w:hAnsi="Times New Roman" w:cs="Times New Roman" w:hint="cs"/>
        </w:rPr>
        <w:t xml:space="preserve">) enhance power via continuous stator rings with additional </w:t>
      </w:r>
      <w:proofErr w:type="spellStart"/>
      <w:r w:rsidRPr="00485D9D">
        <w:rPr>
          <w:rFonts w:ascii="Times New Roman" w:hAnsi="Times New Roman" w:cs="Times New Roman" w:hint="cs"/>
        </w:rPr>
        <w:t>MotA₅MotB</w:t>
      </w:r>
      <w:proofErr w:type="spellEnd"/>
      <w:r w:rsidRPr="00485D9D">
        <w:rPr>
          <w:rFonts w:ascii="Times New Roman" w:hAnsi="Times New Roman" w:cs="Times New Roman" w:hint="cs"/>
        </w:rPr>
        <w:t xml:space="preserve">₂ units, preserving the core </w:t>
      </w:r>
      <w:proofErr w:type="spellStart"/>
      <w:r w:rsidRPr="00485D9D">
        <w:rPr>
          <w:rFonts w:ascii="Times New Roman" w:hAnsi="Times New Roman" w:cs="Times New Roman" w:hint="cs"/>
        </w:rPr>
        <w:t>FliF</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architecture (</w:t>
      </w:r>
      <w:proofErr w:type="spellStart"/>
      <w:r w:rsidRPr="00485D9D">
        <w:rPr>
          <w:rFonts w:ascii="Times New Roman" w:hAnsi="Times New Roman" w:cs="Times New Roman" w:hint="cs"/>
        </w:rPr>
        <w:t>Rieu</w:t>
      </w:r>
      <w:proofErr w:type="spellEnd"/>
      <w:r w:rsidRPr="00485D9D">
        <w:rPr>
          <w:rFonts w:ascii="Times New Roman" w:hAnsi="Times New Roman" w:cs="Times New Roman" w:hint="cs"/>
        </w:rPr>
        <w:t xml:space="preserve"> et al., 2022).</w:t>
      </w:r>
    </w:p>
    <w:p w:rsidR="00ED777B" w:rsidRPr="00485D9D" w:rsidRDefault="00ED777B" w:rsidP="00E4450E">
      <w:pPr>
        <w:spacing w:line="360" w:lineRule="auto"/>
        <w:rPr>
          <w:rFonts w:ascii="Times New Roman" w:hAnsi="Times New Roman" w:cs="Times New Roman"/>
        </w:rPr>
      </w:pPr>
      <w:r w:rsidRPr="00485D9D">
        <w:rPr>
          <w:rFonts w:ascii="Times New Roman" w:hAnsi="Times New Roman" w:cs="Times New Roman" w:hint="cs"/>
        </w:rPr>
        <w:t>Despite divergent roles, their structural homology suggests an ancient evolutionary link. Comparative analyses reveal conserved α-helical folds in their cytosolic domains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hinting at a shared ancestral protein.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directly generates rotational torque, while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mediates Mg²⁺ uptake critical for cellular homeostasis and flagellar assembly. </w:t>
      </w:r>
    </w:p>
    <w:p w:rsidR="00DF4947" w:rsidRPr="00485D9D" w:rsidRDefault="00DF4947" w:rsidP="00E4450E">
      <w:pPr>
        <w:spacing w:line="360" w:lineRule="auto"/>
        <w:rPr>
          <w:rFonts w:ascii="Times New Roman" w:hAnsi="Times New Roman" w:cs="Times New Roman"/>
        </w:rPr>
      </w:pPr>
    </w:p>
    <w:p w:rsidR="00DF4947" w:rsidRPr="00485D9D" w:rsidRDefault="00DF4947" w:rsidP="00E4450E">
      <w:pPr>
        <w:spacing w:line="360" w:lineRule="auto"/>
        <w:rPr>
          <w:rFonts w:ascii="Times New Roman" w:hAnsi="Times New Roman" w:cs="Times New Roman"/>
        </w:rPr>
      </w:pPr>
    </w:p>
    <w:p w:rsidR="00DF4947" w:rsidRDefault="00DF4947" w:rsidP="00E4450E">
      <w:pPr>
        <w:spacing w:line="360" w:lineRule="auto"/>
        <w:rPr>
          <w:rFonts w:ascii="Times New Roman" w:hAnsi="Times New Roman" w:cs="Times New Roman"/>
          <w:b/>
          <w:bCs/>
          <w:u w:val="single"/>
        </w:rPr>
      </w:pPr>
      <w:r w:rsidRPr="00E4450E">
        <w:rPr>
          <w:rFonts w:ascii="Times New Roman" w:hAnsi="Times New Roman" w:cs="Times New Roman" w:hint="cs"/>
          <w:b/>
          <w:bCs/>
          <w:u w:val="single"/>
        </w:rPr>
        <w:t xml:space="preserve">Supplementary information for </w:t>
      </w:r>
      <w:proofErr w:type="spellStart"/>
      <w:r w:rsidRPr="00E4450E">
        <w:rPr>
          <w:rFonts w:ascii="Times New Roman" w:hAnsi="Times New Roman" w:cs="Times New Roman" w:hint="cs"/>
          <w:b/>
          <w:bCs/>
          <w:u w:val="single"/>
        </w:rPr>
        <w:t>FliG</w:t>
      </w:r>
      <w:proofErr w:type="spellEnd"/>
    </w:p>
    <w:p w:rsidR="00E4450E" w:rsidRPr="00E4450E" w:rsidRDefault="00E4450E" w:rsidP="00E4450E">
      <w:pPr>
        <w:spacing w:line="360" w:lineRule="auto"/>
        <w:rPr>
          <w:rFonts w:ascii="Times New Roman" w:hAnsi="Times New Roman" w:cs="Times New Roman"/>
          <w:b/>
          <w:bCs/>
          <w:u w:val="single"/>
        </w:rPr>
      </w:pPr>
    </w:p>
    <w:p w:rsidR="00DF4947" w:rsidRPr="00E4450E" w:rsidRDefault="00DF4947" w:rsidP="00E4450E">
      <w:pPr>
        <w:spacing w:line="360" w:lineRule="auto"/>
        <w:rPr>
          <w:rFonts w:ascii="Times New Roman" w:hAnsi="Times New Roman" w:cs="Times New Roman"/>
          <w:u w:val="single"/>
        </w:rPr>
      </w:pPr>
      <w:r w:rsidRPr="00E4450E">
        <w:rPr>
          <w:rFonts w:ascii="Times New Roman" w:hAnsi="Times New Roman" w:cs="Times New Roman" w:hint="cs"/>
          <w:u w:val="single"/>
        </w:rPr>
        <w:t>Conformational Cycling and Directional Switching</w:t>
      </w:r>
    </w:p>
    <w:p w:rsidR="00DF4947" w:rsidRPr="00485D9D" w:rsidRDefault="00DF4947" w:rsidP="00E4450E">
      <w:pPr>
        <w:spacing w:line="360" w:lineRule="auto"/>
        <w:rPr>
          <w:rFonts w:ascii="Times New Roman" w:hAnsi="Times New Roman" w:cs="Times New Roman"/>
        </w:rPr>
      </w:pPr>
      <w:r w:rsidRPr="00485D9D">
        <w:rPr>
          <w:rFonts w:ascii="Times New Roman" w:hAnsi="Times New Roman" w:cs="Times New Roman" w:hint="cs"/>
        </w:rPr>
        <w:t xml:space="preserve">Directional switching is achieved through rapid allosteric remodeling of the C-ring triggered by chemotactic signals. Binding of phosphorylated </w:t>
      </w:r>
      <w:proofErr w:type="spellStart"/>
      <w:r w:rsidRPr="00485D9D">
        <w:rPr>
          <w:rFonts w:ascii="Times New Roman" w:hAnsi="Times New Roman" w:cs="Times New Roman" w:hint="cs"/>
        </w:rPr>
        <w:t>CheY</w:t>
      </w:r>
      <w:proofErr w:type="spellEnd"/>
      <w:r w:rsidRPr="00485D9D">
        <w:rPr>
          <w:rFonts w:ascii="Times New Roman" w:hAnsi="Times New Roman" w:cs="Times New Roman" w:hint="cs"/>
        </w:rPr>
        <w:t xml:space="preserve"> to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 induces a pronounced expansion of the cylindrical C-ring and outward tilting of the torque helix, thereby inverting its electrostatic contacts with </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and reversing rotational bias (Chang et al., 2020; Sarkar et al., 2010). Cryo-electron tomography and </w:t>
      </w:r>
      <w:proofErr w:type="spellStart"/>
      <w:r w:rsidRPr="00485D9D">
        <w:rPr>
          <w:rFonts w:ascii="Times New Roman" w:hAnsi="Times New Roman" w:cs="Times New Roman" w:hint="cs"/>
        </w:rPr>
        <w:t>subtomogram</w:t>
      </w:r>
      <w:proofErr w:type="spellEnd"/>
      <w:r w:rsidRPr="00485D9D">
        <w:rPr>
          <w:rFonts w:ascii="Times New Roman" w:hAnsi="Times New Roman" w:cs="Times New Roman" w:hint="cs"/>
        </w:rPr>
        <w:t xml:space="preserve"> averaging indicate that these conformational changes occur on sub-millisecond timescales, enabling swift motor reversals essential for chemotaxis (Johnson et al., 2024). Mutational studies further confirm that stabilizing hinge conformations in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locks the motor in a single rotational state, underscoring the mechanical basis of directional control (Guo &amp; Liu, 2022). This mechanism highlights how dynamic remodeling of the amphipathic helix and C-ring architecture integrates chemotactic inputs to mediate bidirectional switching with high temporal precision (</w:t>
      </w:r>
      <w:proofErr w:type="spellStart"/>
      <w:r w:rsidRPr="00485D9D">
        <w:rPr>
          <w:rFonts w:ascii="Times New Roman" w:hAnsi="Times New Roman" w:cs="Times New Roman" w:hint="cs"/>
        </w:rPr>
        <w:t>Minamino</w:t>
      </w:r>
      <w:proofErr w:type="spellEnd"/>
      <w:r w:rsidRPr="00485D9D">
        <w:rPr>
          <w:rFonts w:ascii="Times New Roman" w:hAnsi="Times New Roman" w:cs="Times New Roman" w:hint="cs"/>
        </w:rPr>
        <w:t xml:space="preserve"> &amp; </w:t>
      </w:r>
      <w:proofErr w:type="spellStart"/>
      <w:r w:rsidRPr="00485D9D">
        <w:rPr>
          <w:rFonts w:ascii="Times New Roman" w:hAnsi="Times New Roman" w:cs="Times New Roman" w:hint="cs"/>
        </w:rPr>
        <w:t>Imada</w:t>
      </w:r>
      <w:proofErr w:type="spellEnd"/>
      <w:r w:rsidRPr="00485D9D">
        <w:rPr>
          <w:rFonts w:ascii="Times New Roman" w:hAnsi="Times New Roman" w:cs="Times New Roman" w:hint="cs"/>
        </w:rPr>
        <w:t>, 2015).</w:t>
      </w:r>
    </w:p>
    <w:p w:rsidR="00DF4947" w:rsidRPr="00485D9D" w:rsidRDefault="00DF4947" w:rsidP="00E4450E">
      <w:pPr>
        <w:spacing w:line="360" w:lineRule="auto"/>
        <w:rPr>
          <w:rFonts w:ascii="Times New Roman" w:hAnsi="Times New Roman" w:cs="Times New Roman"/>
        </w:rPr>
      </w:pPr>
    </w:p>
    <w:p w:rsidR="00DF4947" w:rsidRPr="004D6FCB" w:rsidRDefault="00DF4947" w:rsidP="00E4450E">
      <w:pPr>
        <w:spacing w:line="360" w:lineRule="auto"/>
        <w:rPr>
          <w:rFonts w:ascii="Times New Roman" w:hAnsi="Times New Roman" w:cs="Times New Roman"/>
          <w:u w:val="single"/>
        </w:rPr>
      </w:pPr>
      <w:r w:rsidRPr="004D6FCB">
        <w:rPr>
          <w:rFonts w:ascii="Times New Roman" w:hAnsi="Times New Roman" w:cs="Times New Roman" w:hint="cs"/>
          <w:u w:val="single"/>
        </w:rPr>
        <w:t xml:space="preserve">Evolutionary Adaptations for High-Torque Systems </w:t>
      </w:r>
    </w:p>
    <w:p w:rsidR="00DF4947" w:rsidRPr="00485D9D" w:rsidRDefault="00DF4947" w:rsidP="00E4450E">
      <w:pPr>
        <w:spacing w:line="360" w:lineRule="auto"/>
        <w:rPr>
          <w:rFonts w:ascii="Times New Roman" w:hAnsi="Times New Roman" w:cs="Times New Roman"/>
        </w:rPr>
      </w:pPr>
      <w:proofErr w:type="spellStart"/>
      <w:r w:rsidRPr="00485D9D">
        <w:rPr>
          <w:rFonts w:ascii="Times New Roman" w:hAnsi="Times New Roman" w:cs="Times New Roman" w:hint="cs"/>
        </w:rPr>
        <w:t>FliG's</w:t>
      </w:r>
      <w:proofErr w:type="spellEnd"/>
      <w:r w:rsidRPr="00485D9D">
        <w:rPr>
          <w:rFonts w:ascii="Times New Roman" w:hAnsi="Times New Roman" w:cs="Times New Roman" w:hint="cs"/>
        </w:rPr>
        <w:t xml:space="preserve"> modular domain architecture is readily re-tuned to meet species-specific biomechanical demands. Cryo-EM analysis of the thermophile </w:t>
      </w:r>
      <w:proofErr w:type="spellStart"/>
      <w:r w:rsidRPr="00485D9D">
        <w:rPr>
          <w:rFonts w:ascii="Times New Roman" w:hAnsi="Times New Roman" w:cs="Times New Roman" w:hint="cs"/>
        </w:rPr>
        <w:t>Paenibacillus</w:t>
      </w:r>
      <w:proofErr w:type="spellEnd"/>
      <w:r w:rsidRPr="00485D9D">
        <w:rPr>
          <w:rFonts w:ascii="Times New Roman" w:hAnsi="Times New Roman" w:cs="Times New Roman" w:hint="cs"/>
        </w:rPr>
        <w:t xml:space="preserve"> sp. TCA20 resolves a 45-subunit C-ring whose radially expanded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-M barrel increases the lever arm radius by ~40%, directly amplifying torque output (</w:t>
      </w:r>
      <w:proofErr w:type="spellStart"/>
      <w:r w:rsidRPr="00485D9D">
        <w:rPr>
          <w:rFonts w:ascii="Times New Roman" w:hAnsi="Times New Roman" w:cs="Times New Roman" w:hint="cs"/>
        </w:rPr>
        <w:t>Onoe</w:t>
      </w:r>
      <w:proofErr w:type="spellEnd"/>
      <w:r w:rsidRPr="00485D9D">
        <w:rPr>
          <w:rFonts w:ascii="Times New Roman" w:hAnsi="Times New Roman" w:cs="Times New Roman" w:hint="cs"/>
        </w:rPr>
        <w:t xml:space="preserve"> et al., 2025). Parallel adaptations in Campylobacter </w:t>
      </w:r>
      <w:proofErr w:type="spellStart"/>
      <w:r w:rsidRPr="00485D9D">
        <w:rPr>
          <w:rFonts w:ascii="Times New Roman" w:hAnsi="Times New Roman" w:cs="Times New Roman" w:hint="cs"/>
        </w:rPr>
        <w:t>jejuni</w:t>
      </w:r>
      <w:proofErr w:type="spellEnd"/>
      <w:r w:rsidRPr="00485D9D">
        <w:rPr>
          <w:rFonts w:ascii="Times New Roman" w:hAnsi="Times New Roman" w:cs="Times New Roman" w:hint="cs"/>
        </w:rPr>
        <w:t xml:space="preserve"> include charge-reinforcing substitutions at the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-C-</w:t>
      </w:r>
      <w:proofErr w:type="spellStart"/>
      <w:r w:rsidRPr="00485D9D">
        <w:rPr>
          <w:rFonts w:ascii="Times New Roman" w:hAnsi="Times New Roman" w:cs="Times New Roman" w:hint="cs"/>
        </w:rPr>
        <w:t>MotA</w:t>
      </w:r>
      <w:proofErr w:type="spellEnd"/>
      <w:r w:rsidRPr="00485D9D">
        <w:rPr>
          <w:rFonts w:ascii="Times New Roman" w:hAnsi="Times New Roman" w:cs="Times New Roman" w:hint="cs"/>
        </w:rPr>
        <w:t xml:space="preserve"> interface (e.g., Arg281→Lys in torque helix) and a widened periplasmic scaffold that templates a broader stator ring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w:t>
      </w:r>
      <w:r w:rsidRPr="00485D9D">
        <w:rPr>
          <w:rFonts w:ascii="Times New Roman" w:hAnsi="Times New Roman" w:cs="Times New Roman" w:hint="cs"/>
        </w:rPr>
        <w:lastRenderedPageBreak/>
        <w:t xml:space="preserve">al., 2020). Earlier cryo-electron tomography across ε-proteobacteria confirmed that such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ring expansions are accompanied by proportionally denser stator belts (13–17 </w:t>
      </w:r>
      <w:proofErr w:type="spellStart"/>
      <w:r w:rsidRPr="00485D9D">
        <w:rPr>
          <w:rFonts w:ascii="Times New Roman" w:hAnsi="Times New Roman" w:cs="Times New Roman" w:hint="cs"/>
        </w:rPr>
        <w:t>MotA₅MotB</w:t>
      </w:r>
      <w:proofErr w:type="spellEnd"/>
      <w:r w:rsidRPr="00485D9D">
        <w:rPr>
          <w:rFonts w:ascii="Times New Roman" w:hAnsi="Times New Roman" w:cs="Times New Roman" w:hint="cs"/>
        </w:rPr>
        <w:t>₂ units vs. 8–11 in E. coli), providing additional torque transfer points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2016). Critically, these lineage-specific optimizations occur while preserving the ancestral </w:t>
      </w:r>
      <w:proofErr w:type="spellStart"/>
      <w:r w:rsidRPr="00485D9D">
        <w:rPr>
          <w:rFonts w:ascii="Times New Roman" w:hAnsi="Times New Roman" w:cs="Times New Roman" w:hint="cs"/>
        </w:rPr>
        <w:t>FliF</w:t>
      </w:r>
      <w:proofErr w:type="spellEnd"/>
      <w:r w:rsidRPr="00485D9D">
        <w:rPr>
          <w:rFonts w:ascii="Times New Roman" w:hAnsi="Times New Roman" w:cs="Times New Roman" w:hint="cs"/>
        </w:rPr>
        <w:t>–</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-N anchor, highlighting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as an evolvable torque amplifier within a universally conserved structural framework (Johnson et al., 2024).</w:t>
      </w:r>
    </w:p>
    <w:p w:rsidR="00DF4947" w:rsidRPr="00485D9D" w:rsidRDefault="00DF4947" w:rsidP="00E4450E">
      <w:pPr>
        <w:spacing w:line="360" w:lineRule="auto"/>
        <w:rPr>
          <w:rFonts w:ascii="Times New Roman" w:hAnsi="Times New Roman" w:cs="Times New Roman"/>
        </w:rPr>
      </w:pPr>
    </w:p>
    <w:p w:rsidR="00DF4947" w:rsidRPr="00E4450E" w:rsidRDefault="00DF4947" w:rsidP="00E4450E">
      <w:pPr>
        <w:spacing w:line="360" w:lineRule="auto"/>
        <w:rPr>
          <w:rFonts w:ascii="Times New Roman" w:hAnsi="Times New Roman" w:cs="Times New Roman"/>
          <w:b/>
          <w:bCs/>
          <w:u w:val="single"/>
        </w:rPr>
      </w:pPr>
      <w:r w:rsidRPr="00E4450E">
        <w:rPr>
          <w:rFonts w:ascii="Times New Roman" w:hAnsi="Times New Roman" w:cs="Times New Roman" w:hint="cs"/>
          <w:b/>
          <w:bCs/>
          <w:u w:val="single"/>
        </w:rPr>
        <w:t xml:space="preserve">Supplementary information on </w:t>
      </w:r>
      <w:proofErr w:type="spellStart"/>
      <w:r w:rsidRPr="00E4450E">
        <w:rPr>
          <w:rFonts w:ascii="Times New Roman" w:hAnsi="Times New Roman" w:cs="Times New Roman" w:hint="cs"/>
          <w:b/>
          <w:bCs/>
          <w:u w:val="single"/>
        </w:rPr>
        <w:t>MgtE</w:t>
      </w:r>
      <w:proofErr w:type="spellEnd"/>
    </w:p>
    <w:p w:rsidR="00ED777B" w:rsidRPr="00485D9D" w:rsidRDefault="00ED777B" w:rsidP="00E4450E">
      <w:pPr>
        <w:spacing w:line="360" w:lineRule="auto"/>
        <w:rPr>
          <w:rFonts w:ascii="Times New Roman" w:hAnsi="Times New Roman" w:cs="Times New Roman"/>
        </w:rPr>
      </w:pPr>
    </w:p>
    <w:p w:rsidR="00DF4947" w:rsidRPr="004D6FCB" w:rsidRDefault="00DF4947" w:rsidP="00E4450E">
      <w:pPr>
        <w:spacing w:line="360" w:lineRule="auto"/>
        <w:rPr>
          <w:rFonts w:ascii="Times New Roman" w:hAnsi="Times New Roman" w:cs="Times New Roman"/>
          <w:u w:val="single"/>
        </w:rPr>
      </w:pPr>
      <w:r w:rsidRPr="004D6FCB">
        <w:rPr>
          <w:rFonts w:ascii="Times New Roman" w:hAnsi="Times New Roman" w:cs="Times New Roman" w:hint="cs"/>
          <w:u w:val="single"/>
        </w:rPr>
        <w:t>Domain architecture and dimeric assembly</w:t>
      </w:r>
    </w:p>
    <w:p w:rsidR="00DF4947" w:rsidRPr="00485D9D" w:rsidRDefault="00DF4947" w:rsidP="00E4450E">
      <w:pPr>
        <w:spacing w:line="360" w:lineRule="auto"/>
        <w:rPr>
          <w:rFonts w:ascii="Times New Roman" w:hAnsi="Times New Roman" w:cs="Times New Roman"/>
        </w:rPr>
      </w:pPr>
      <w:r w:rsidRPr="00485D9D">
        <w:rPr>
          <w:rFonts w:ascii="Times New Roman" w:hAnsi="Times New Roman" w:cs="Times New Roman" w:hint="cs"/>
        </w:rPr>
        <w:t xml:space="preserve">In the Mg²⁺-bound state,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adopts a symmetric </w:t>
      </w:r>
      <w:proofErr w:type="spellStart"/>
      <w:r w:rsidRPr="00485D9D">
        <w:rPr>
          <w:rFonts w:ascii="Times New Roman" w:hAnsi="Times New Roman" w:cs="Times New Roman" w:hint="cs"/>
        </w:rPr>
        <w:t>homodimeric</w:t>
      </w:r>
      <w:proofErr w:type="spellEnd"/>
      <w:r w:rsidRPr="00485D9D">
        <w:rPr>
          <w:rFonts w:ascii="Times New Roman" w:hAnsi="Times New Roman" w:cs="Times New Roman" w:hint="cs"/>
        </w:rPr>
        <w:t xml:space="preserve"> architecture in which each subunit comprises a five-helix transmembrane bundle fused to a large cytosolic region containing an N-terminal </w:t>
      </w:r>
      <w:proofErr w:type="spellStart"/>
      <w:r w:rsidRPr="00485D9D">
        <w:rPr>
          <w:rFonts w:ascii="Times New Roman" w:hAnsi="Times New Roman" w:cs="Times New Roman" w:hint="cs"/>
        </w:rPr>
        <w:t>superhelical</w:t>
      </w:r>
      <w:proofErr w:type="spellEnd"/>
      <w:r w:rsidRPr="00485D9D">
        <w:rPr>
          <w:rFonts w:ascii="Times New Roman" w:hAnsi="Times New Roman" w:cs="Times New Roman" w:hint="cs"/>
        </w:rPr>
        <w:t xml:space="preserve"> domain and tandem CBS (cystathionine-β-synthase) modules (Hattori et al., 2007; </w:t>
      </w:r>
      <w:proofErr w:type="spellStart"/>
      <w:r w:rsidRPr="00485D9D">
        <w:rPr>
          <w:rFonts w:ascii="Times New Roman" w:hAnsi="Times New Roman" w:cs="Times New Roman" w:hint="cs"/>
        </w:rPr>
        <w:t>Ishitani</w:t>
      </w:r>
      <w:proofErr w:type="spellEnd"/>
      <w:r w:rsidRPr="00485D9D">
        <w:rPr>
          <w:rFonts w:ascii="Times New Roman" w:hAnsi="Times New Roman" w:cs="Times New Roman" w:hint="cs"/>
        </w:rPr>
        <w:t xml:space="preserve"> et al., 2008). The two subunits assemble in a domain-swapped fashion; the transmembrane helices of each protomer form the ion-conduction pore along the dimer twofold axis, while the cytosolic N-domain of one subunit interacts with the CBS domains of the partner subunit, creating a tightly interlocked dimer interface (Hattori et al., 2009).</w:t>
      </w:r>
    </w:p>
    <w:p w:rsidR="00DF4947" w:rsidRPr="00485D9D" w:rsidRDefault="00DF4947" w:rsidP="00E4450E">
      <w:pPr>
        <w:spacing w:line="360" w:lineRule="auto"/>
        <w:rPr>
          <w:rFonts w:ascii="Times New Roman" w:hAnsi="Times New Roman" w:cs="Times New Roman"/>
        </w:rPr>
      </w:pPr>
      <w:r w:rsidRPr="00485D9D">
        <w:rPr>
          <w:rFonts w:ascii="Times New Roman" w:hAnsi="Times New Roman" w:cs="Times New Roman" w:hint="cs"/>
        </w:rPr>
        <w:t xml:space="preserve">Multiple Mg²⁺ ions bind within this cytosolic assembly coordinated by acidic residues on the N-domain, CBS modules, and the connecting “plug” helices to stabilize the closed conformation. A further Mg²⁺ is observed in the pore, coordinated by a conserved Asp residue, marking the principal selectivity site in the non-conductive state (Hattori et al., 2007, 2009). In this closed conformation, the plug helices lie parallel to and buttress against the inner faces of the pore-lining helices. A hydrophobic constriction (including a kink at Pro³²¹ in TM2) occludes the extracellular side. Together, these features ensure that, under conditions of high intracellular Mg²⁺,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remains sealed, with the cytosolic domains functioning as a Mg²⁺-dependent “lock” that clamps the channel shut (Hattori et al., 2009; </w:t>
      </w:r>
      <w:proofErr w:type="spellStart"/>
      <w:r w:rsidRPr="00485D9D">
        <w:rPr>
          <w:rFonts w:ascii="Times New Roman" w:hAnsi="Times New Roman" w:cs="Times New Roman" w:hint="cs"/>
        </w:rPr>
        <w:t>Ishitani</w:t>
      </w:r>
      <w:proofErr w:type="spellEnd"/>
      <w:r w:rsidRPr="00485D9D">
        <w:rPr>
          <w:rFonts w:ascii="Times New Roman" w:hAnsi="Times New Roman" w:cs="Times New Roman" w:hint="cs"/>
        </w:rPr>
        <w:t xml:space="preserve"> et al., 2008).</w:t>
      </w:r>
    </w:p>
    <w:p w:rsidR="004F5E42" w:rsidRPr="004D6FCB" w:rsidRDefault="004F5E42" w:rsidP="00E4450E">
      <w:pPr>
        <w:spacing w:line="360" w:lineRule="auto"/>
        <w:rPr>
          <w:rFonts w:ascii="Times New Roman" w:hAnsi="Times New Roman" w:cs="Times New Roman"/>
          <w:u w:val="single"/>
        </w:rPr>
      </w:pPr>
    </w:p>
    <w:p w:rsidR="004F5E42" w:rsidRPr="004D6FCB" w:rsidRDefault="004F5E42" w:rsidP="00E4450E">
      <w:pPr>
        <w:spacing w:line="360" w:lineRule="auto"/>
        <w:rPr>
          <w:rFonts w:ascii="Times New Roman" w:hAnsi="Times New Roman" w:cs="Times New Roman"/>
          <w:u w:val="single"/>
        </w:rPr>
      </w:pPr>
      <w:r w:rsidRPr="004D6FCB">
        <w:rPr>
          <w:rFonts w:ascii="Times New Roman" w:hAnsi="Times New Roman" w:cs="Times New Roman" w:hint="cs"/>
          <w:u w:val="single"/>
        </w:rPr>
        <w:t>Roles in cellular magnesium homeostasis</w:t>
      </w:r>
    </w:p>
    <w:p w:rsidR="004F5E42" w:rsidRPr="00485D9D" w:rsidRDefault="004F5E42" w:rsidP="00E4450E">
      <w:pPr>
        <w:spacing w:line="360" w:lineRule="auto"/>
        <w:rPr>
          <w:rFonts w:ascii="Times New Roman" w:hAnsi="Times New Roman" w:cs="Times New Roman"/>
        </w:rPr>
      </w:pPr>
      <w:r w:rsidRPr="00485D9D">
        <w:rPr>
          <w:rFonts w:ascii="Times New Roman" w:hAnsi="Times New Roman" w:cs="Times New Roman" w:hint="cs"/>
        </w:rPr>
        <w:t xml:space="preserve">Intracellular magnesium (Mg²⁺) concentrations are tightly regulated within a physiological range (0.5–2 mM) to sustain essential processes such as ATP hydrolysis, ribosomal function, and nucleic acid stability. The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protein is central to this homeostasis, functioning as a Mg²⁺-</w:t>
      </w:r>
      <w:r w:rsidRPr="00485D9D">
        <w:rPr>
          <w:rFonts w:ascii="Times New Roman" w:hAnsi="Times New Roman" w:cs="Times New Roman" w:hint="cs"/>
        </w:rPr>
        <w:lastRenderedPageBreak/>
        <w:t>selective channel, not a transporter or ATPase that gates open during intracellular Mg²⁺ depletion and closes upon repletion. This rapid, direct Mg²-sensing mechanism establishes a negative feedback loop for ionic control (Hattori et al., 2009). Structural studies reveal that Mg²⁺ binding at cytosolic sites (including an N-terminal ARM fold and tandem CBS domains) locks connecting helices, stabilizing a closed conformation and occluding the pore. Conversely, low Mg²⁺ disassembles these interdomain bridges, enabling pore opening for Mg²⁺ influx (Hattori et al., 2007, 2009). This allosteric gating ensures specificity for Mg²⁺ over similar divalent cations (e.g., Ni²⁺, Co²⁺).</w:t>
      </w:r>
    </w:p>
    <w:p w:rsidR="004F5E42" w:rsidRPr="00485D9D" w:rsidRDefault="004F5E42" w:rsidP="00E4450E">
      <w:pPr>
        <w:spacing w:line="360" w:lineRule="auto"/>
        <w:rPr>
          <w:rFonts w:ascii="Times New Roman" w:hAnsi="Times New Roman" w:cs="Times New Roman"/>
        </w:rPr>
      </w:pPr>
      <w:r w:rsidRPr="00485D9D">
        <w:rPr>
          <w:rFonts w:ascii="Times New Roman" w:hAnsi="Times New Roman" w:cs="Times New Roman" w:hint="cs"/>
        </w:rPr>
        <w:t xml:space="preserve">Transcriptional regulation further refines Mg²⁺ homeostasis. In Bacillus subtilis, the Mg²⁺-Mg²-responsive M-box riboswitch suppresses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mRNA expression when cytosolic Mg²⁺ exceeds ~1.5 </w:t>
      </w:r>
      <w:proofErr w:type="spellStart"/>
      <w:r w:rsidRPr="00485D9D">
        <w:rPr>
          <w:rFonts w:ascii="Times New Roman" w:hAnsi="Times New Roman" w:cs="Times New Roman" w:hint="cs"/>
        </w:rPr>
        <w:t>mM.</w:t>
      </w:r>
      <w:proofErr w:type="spellEnd"/>
      <w:r w:rsidRPr="00485D9D">
        <w:rPr>
          <w:rFonts w:ascii="Times New Roman" w:hAnsi="Times New Roman" w:cs="Times New Roman" w:hint="cs"/>
        </w:rPr>
        <w:t xml:space="preserve"> This dual-layer control fast channel gating and slower transcriptional modulation optimizes (</w:t>
      </w:r>
      <w:proofErr w:type="spellStart"/>
      <w:r w:rsidRPr="00485D9D">
        <w:rPr>
          <w:rFonts w:ascii="Times New Roman" w:hAnsi="Times New Roman" w:cs="Times New Roman" w:hint="cs"/>
        </w:rPr>
        <w:t>Moomaw</w:t>
      </w:r>
      <w:proofErr w:type="spellEnd"/>
      <w:r w:rsidRPr="00485D9D">
        <w:rPr>
          <w:rFonts w:ascii="Times New Roman" w:hAnsi="Times New Roman" w:cs="Times New Roman" w:hint="cs"/>
        </w:rPr>
        <w:t xml:space="preserve"> &amp; Maguire, 2008)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abundance and activity to cellular Mg²⁺ demands. Phenotypic evidence confirms </w:t>
      </w:r>
      <w:proofErr w:type="spellStart"/>
      <w:r w:rsidRPr="00485D9D">
        <w:rPr>
          <w:rFonts w:ascii="Times New Roman" w:hAnsi="Times New Roman" w:cs="Times New Roman" w:hint="cs"/>
        </w:rPr>
        <w:t>MgtE’s</w:t>
      </w:r>
      <w:proofErr w:type="spellEnd"/>
      <w:r w:rsidRPr="00485D9D">
        <w:rPr>
          <w:rFonts w:ascii="Times New Roman" w:hAnsi="Times New Roman" w:cs="Times New Roman" w:hint="cs"/>
        </w:rPr>
        <w:t xml:space="preserve"> physiological necessity, B. subtilis and E. coli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mutants exhibit biphasic growth defects, showing hypersensitivity below 0.1 mM Mg²⁺ and toxic accumulation (&gt;10 mM) in Mg²⁺-rich environments (&gt;100 mM), reflecting impaired uptake/efflux coordination (</w:t>
      </w:r>
      <w:proofErr w:type="spellStart"/>
      <w:r w:rsidRPr="00485D9D">
        <w:rPr>
          <w:rFonts w:ascii="Times New Roman" w:hAnsi="Times New Roman" w:cs="Times New Roman" w:hint="cs"/>
        </w:rPr>
        <w:t>Moomaw</w:t>
      </w:r>
      <w:proofErr w:type="spellEnd"/>
      <w:r w:rsidRPr="00485D9D">
        <w:rPr>
          <w:rFonts w:ascii="Times New Roman" w:hAnsi="Times New Roman" w:cs="Times New Roman" w:hint="cs"/>
        </w:rPr>
        <w:t xml:space="preserve"> &amp; Maguire, 2008).</w:t>
      </w:r>
    </w:p>
    <w:p w:rsidR="004F5E42" w:rsidRPr="00485D9D" w:rsidRDefault="004F5E42" w:rsidP="00E4450E">
      <w:pPr>
        <w:spacing w:line="360" w:lineRule="auto"/>
        <w:rPr>
          <w:rFonts w:ascii="Times New Roman" w:hAnsi="Times New Roman" w:cs="Times New Roman"/>
        </w:rPr>
      </w:pPr>
      <w:r w:rsidRPr="00485D9D">
        <w:rPr>
          <w:rFonts w:ascii="Times New Roman" w:hAnsi="Times New Roman" w:cs="Times New Roman" w:hint="cs"/>
        </w:rPr>
        <w:t xml:space="preserve">Evolutionarily conserved across domains, mammalian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homologs (SLC41 family) retain core transport functions despite structural divergence. SLC41A1, the best-characterized member, shares membrane topology with bacterial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but lacks its cytosolic Mg²⁺-sensing domains (</w:t>
      </w:r>
      <w:proofErr w:type="spellStart"/>
      <w:r w:rsidRPr="00485D9D">
        <w:rPr>
          <w:rFonts w:ascii="Times New Roman" w:hAnsi="Times New Roman" w:cs="Times New Roman" w:hint="cs"/>
        </w:rPr>
        <w:t>Kolisek</w:t>
      </w:r>
      <w:proofErr w:type="spellEnd"/>
      <w:r w:rsidRPr="00485D9D">
        <w:rPr>
          <w:rFonts w:ascii="Times New Roman" w:hAnsi="Times New Roman" w:cs="Times New Roman" w:hint="cs"/>
        </w:rPr>
        <w:t xml:space="preserve"> et al., 2008). While it rescues Mg²⁺ uptake in transporter-deficient Salmonella, SLC41A1 primarily mediates Mg²⁺ efflux in mammalian cells, indicating functional adaptation. Its expression is upregulated in the kidney, heart, and colon during dietary Mg²⁺ deficiency, confirming conserved homeostatic roles (</w:t>
      </w:r>
      <w:proofErr w:type="spellStart"/>
      <w:r w:rsidRPr="00485D9D">
        <w:rPr>
          <w:rFonts w:ascii="Times New Roman" w:hAnsi="Times New Roman" w:cs="Times New Roman" w:hint="cs"/>
        </w:rPr>
        <w:t>Kolisek</w:t>
      </w:r>
      <w:proofErr w:type="spellEnd"/>
      <w:r w:rsidRPr="00485D9D">
        <w:rPr>
          <w:rFonts w:ascii="Times New Roman" w:hAnsi="Times New Roman" w:cs="Times New Roman" w:hint="cs"/>
        </w:rPr>
        <w:t xml:space="preserve"> et al., 2008).</w:t>
      </w:r>
    </w:p>
    <w:p w:rsidR="004F5E42" w:rsidRPr="004D6FCB" w:rsidRDefault="004F5E42" w:rsidP="00E4450E">
      <w:pPr>
        <w:spacing w:line="360" w:lineRule="auto"/>
        <w:rPr>
          <w:rFonts w:ascii="Times New Roman" w:hAnsi="Times New Roman" w:cs="Times New Roman"/>
          <w:u w:val="single"/>
        </w:rPr>
      </w:pPr>
    </w:p>
    <w:p w:rsidR="0053113E" w:rsidRPr="004D6FCB" w:rsidRDefault="0053113E" w:rsidP="00E4450E">
      <w:pPr>
        <w:spacing w:line="360" w:lineRule="auto"/>
        <w:rPr>
          <w:rFonts w:ascii="Times New Roman" w:hAnsi="Times New Roman" w:cs="Times New Roman"/>
          <w:u w:val="single"/>
        </w:rPr>
      </w:pPr>
      <w:r w:rsidRPr="004D6FCB">
        <w:rPr>
          <w:rFonts w:ascii="Times New Roman" w:hAnsi="Times New Roman" w:cs="Times New Roman" w:hint="cs"/>
          <w:u w:val="single"/>
        </w:rPr>
        <w:t>Significance for molecular evolution</w:t>
      </w:r>
    </w:p>
    <w:p w:rsidR="0053113E" w:rsidRPr="00485D9D" w:rsidRDefault="0053113E" w:rsidP="00E4450E">
      <w:pPr>
        <w:spacing w:line="360" w:lineRule="auto"/>
        <w:rPr>
          <w:rFonts w:ascii="Times New Roman" w:hAnsi="Times New Roman" w:cs="Times New Roman"/>
        </w:rPr>
      </w:pPr>
      <w:r w:rsidRPr="00485D9D">
        <w:rPr>
          <w:rFonts w:ascii="Times New Roman" w:hAnsi="Times New Roman" w:cs="Times New Roman" w:hint="cs"/>
        </w:rPr>
        <w:t xml:space="preserve">The relationship between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and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is an example of modular protein evolution and exaptation. It exemplifies how complex molecular machines can evolve from scratch by repurposing existing structural elements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Frenkel &amp; Rodriguez, 1982). In this case, the ARM-repeat domain of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likely served as an ancestral template. Through duplication and loss of membrane-spanning or ion-binding functions, this domain was co-opted </w:t>
      </w:r>
      <w:r w:rsidRPr="00485D9D">
        <w:rPr>
          <w:rFonts w:ascii="Times New Roman" w:hAnsi="Times New Roman" w:cs="Times New Roman" w:hint="cs"/>
        </w:rPr>
        <w:lastRenderedPageBreak/>
        <w:t xml:space="preserve">into a new mechanical role within the flagellar motor, giving rise to the modern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protein (Snyder et al., 2009).</w:t>
      </w:r>
    </w:p>
    <w:p w:rsidR="0053113E" w:rsidRPr="00485D9D" w:rsidRDefault="0053113E" w:rsidP="00E4450E">
      <w:pPr>
        <w:spacing w:line="360" w:lineRule="auto"/>
        <w:rPr>
          <w:rFonts w:ascii="Times New Roman" w:hAnsi="Times New Roman" w:cs="Times New Roman"/>
        </w:rPr>
      </w:pPr>
      <w:r w:rsidRPr="00485D9D">
        <w:rPr>
          <w:rFonts w:ascii="Times New Roman" w:hAnsi="Times New Roman" w:cs="Times New Roman" w:hint="cs"/>
        </w:rPr>
        <w:t>This structural repurposing, or tinkering, is consistent with the modular logic of molecular evolution, where domains are fused, lost, or reconfigured to meet new functional demands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The evolution of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from a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-like ancestor also directly counters arguments of “irreducible complexity” often invoked to challenge the evolutionary origin of flagella (Blair &amp; Hughes, 2012). </w:t>
      </w:r>
      <w:proofErr w:type="spellStart"/>
      <w:r w:rsidRPr="00485D9D">
        <w:rPr>
          <w:rFonts w:ascii="Times New Roman" w:hAnsi="Times New Roman" w:cs="Times New Roman" w:hint="cs"/>
        </w:rPr>
        <w:t>FliG’s</w:t>
      </w:r>
      <w:proofErr w:type="spellEnd"/>
      <w:r w:rsidRPr="00485D9D">
        <w:rPr>
          <w:rFonts w:ascii="Times New Roman" w:hAnsi="Times New Roman" w:cs="Times New Roman" w:hint="cs"/>
        </w:rPr>
        <w:t xml:space="preserve"> homolog in a functionally unrelated transporter demonstrates that the flagellar motor’s core components could have evolved by gradually modifying pre-existing parts.</w:t>
      </w:r>
    </w:p>
    <w:p w:rsidR="004F5E42" w:rsidRPr="00485D9D" w:rsidRDefault="004F5E42" w:rsidP="00E4450E">
      <w:pPr>
        <w:spacing w:line="360" w:lineRule="auto"/>
        <w:rPr>
          <w:rFonts w:ascii="Times New Roman" w:hAnsi="Times New Roman" w:cs="Times New Roman"/>
        </w:rPr>
      </w:pPr>
    </w:p>
    <w:p w:rsidR="004F5E42" w:rsidRPr="004D6FCB" w:rsidRDefault="004F5E42" w:rsidP="00E4450E">
      <w:pPr>
        <w:spacing w:line="360" w:lineRule="auto"/>
        <w:rPr>
          <w:rFonts w:ascii="Times New Roman" w:hAnsi="Times New Roman" w:cs="Times New Roman"/>
          <w:u w:val="single"/>
        </w:rPr>
      </w:pPr>
    </w:p>
    <w:p w:rsidR="004F5E42" w:rsidRPr="004D6FCB" w:rsidRDefault="004F5E42" w:rsidP="00E4450E">
      <w:pPr>
        <w:spacing w:line="360" w:lineRule="auto"/>
        <w:rPr>
          <w:rFonts w:ascii="Times New Roman" w:hAnsi="Times New Roman" w:cs="Times New Roman"/>
          <w:u w:val="single"/>
        </w:rPr>
      </w:pPr>
      <w:r w:rsidRPr="004D6FCB">
        <w:rPr>
          <w:rFonts w:ascii="Times New Roman" w:hAnsi="Times New Roman" w:cs="Times New Roman" w:hint="cs"/>
          <w:u w:val="single"/>
        </w:rPr>
        <w:t>Orthologs, Paralogs, and Evolutionary Specialization</w:t>
      </w:r>
    </w:p>
    <w:p w:rsidR="004F5E42" w:rsidRPr="00485D9D" w:rsidRDefault="004F5E42" w:rsidP="00E4450E">
      <w:pPr>
        <w:spacing w:line="360" w:lineRule="auto"/>
        <w:rPr>
          <w:rFonts w:ascii="Times New Roman" w:hAnsi="Times New Roman" w:cs="Times New Roman"/>
        </w:rPr>
      </w:pPr>
      <w:r w:rsidRPr="00485D9D">
        <w:rPr>
          <w:rFonts w:ascii="Times New Roman" w:hAnsi="Times New Roman" w:cs="Times New Roman" w:hint="cs"/>
        </w:rPr>
        <w:t>Molecular evolution distinguishes between orthologs (genes diverging after speciation that typically retain ancestral functions) and paralogs (genes diverging after duplication within a genome that often undergo functional divergence) (</w:t>
      </w:r>
      <w:proofErr w:type="spellStart"/>
      <w:r w:rsidRPr="00485D9D">
        <w:rPr>
          <w:rFonts w:ascii="Times New Roman" w:hAnsi="Times New Roman" w:cs="Times New Roman" w:hint="cs"/>
        </w:rPr>
        <w:t>Koonin</w:t>
      </w:r>
      <w:proofErr w:type="spellEnd"/>
      <w:r w:rsidRPr="00485D9D">
        <w:rPr>
          <w:rFonts w:ascii="Times New Roman" w:hAnsi="Times New Roman" w:cs="Times New Roman" w:hint="cs"/>
        </w:rPr>
        <w:t xml:space="preserve">, 2005). The flagellar C-ring exemplifies paralog-driven complexity.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 and </w:t>
      </w:r>
      <w:proofErr w:type="spellStart"/>
      <w:r w:rsidRPr="00485D9D">
        <w:rPr>
          <w:rFonts w:ascii="Times New Roman" w:hAnsi="Times New Roman" w:cs="Times New Roman" w:hint="cs"/>
        </w:rPr>
        <w:t>FliN</w:t>
      </w:r>
      <w:proofErr w:type="spellEnd"/>
      <w:r w:rsidRPr="00485D9D">
        <w:rPr>
          <w:rFonts w:ascii="Times New Roman" w:hAnsi="Times New Roman" w:cs="Times New Roman" w:hint="cs"/>
        </w:rPr>
        <w:t xml:space="preserve"> have established paralogs arising from domain shuffling events. Phylogenetic and structural evidence indicates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 emerged through the fusion of an ancestral </w:t>
      </w:r>
      <w:proofErr w:type="spellStart"/>
      <w:r w:rsidRPr="00485D9D">
        <w:rPr>
          <w:rFonts w:ascii="Times New Roman" w:hAnsi="Times New Roman" w:cs="Times New Roman" w:hint="cs"/>
        </w:rPr>
        <w:t>CheC</w:t>
      </w:r>
      <w:proofErr w:type="spellEnd"/>
      <w:r w:rsidRPr="00485D9D">
        <w:rPr>
          <w:rFonts w:ascii="Times New Roman" w:hAnsi="Times New Roman" w:cs="Times New Roman" w:hint="cs"/>
        </w:rPr>
        <w:t xml:space="preserve">-like phosphatase domain with a </w:t>
      </w:r>
      <w:proofErr w:type="spellStart"/>
      <w:r w:rsidRPr="00485D9D">
        <w:rPr>
          <w:rFonts w:ascii="Times New Roman" w:hAnsi="Times New Roman" w:cs="Times New Roman" w:hint="cs"/>
        </w:rPr>
        <w:t>FliN</w:t>
      </w:r>
      <w:proofErr w:type="spellEnd"/>
      <w:r w:rsidRPr="00485D9D">
        <w:rPr>
          <w:rFonts w:ascii="Times New Roman" w:hAnsi="Times New Roman" w:cs="Times New Roman" w:hint="cs"/>
        </w:rPr>
        <w:t>-type SPOA (surface presentation of antigens) domain, incorporating into the flagellum after the bacterial root divergence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w:t>
      </w:r>
    </w:p>
    <w:p w:rsidR="004F5E42" w:rsidRPr="00485D9D" w:rsidRDefault="004F5E42" w:rsidP="00E4450E">
      <w:pPr>
        <w:spacing w:line="360" w:lineRule="auto"/>
        <w:rPr>
          <w:rFonts w:ascii="Times New Roman" w:hAnsi="Times New Roman" w:cs="Times New Roman"/>
        </w:rPr>
      </w:pPr>
      <w:r w:rsidRPr="00485D9D">
        <w:rPr>
          <w:rFonts w:ascii="Times New Roman" w:hAnsi="Times New Roman" w:cs="Times New Roman" w:hint="cs"/>
        </w:rPr>
        <w:t xml:space="preserve">In contrast,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represents a distinct evolutionary lineage sharing only deep homology with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xml:space="preserve"> through an ancient ARM-repeat ancestor, not </w:t>
      </w:r>
      <w:proofErr w:type="spellStart"/>
      <w:r w:rsidRPr="00485D9D">
        <w:rPr>
          <w:rFonts w:ascii="Times New Roman" w:hAnsi="Times New Roman" w:cs="Times New Roman" w:hint="cs"/>
        </w:rPr>
        <w:t>paralogy</w:t>
      </w:r>
      <w:proofErr w:type="spellEnd"/>
      <w:r w:rsidRPr="00485D9D">
        <w:rPr>
          <w:rFonts w:ascii="Times New Roman" w:hAnsi="Times New Roman" w:cs="Times New Roman" w:hint="cs"/>
        </w:rPr>
        <w:t xml:space="preserve"> with </w:t>
      </w:r>
      <w:proofErr w:type="spellStart"/>
      <w:r w:rsidRPr="00485D9D">
        <w:rPr>
          <w:rFonts w:ascii="Times New Roman" w:hAnsi="Times New Roman" w:cs="Times New Roman" w:hint="cs"/>
        </w:rPr>
        <w:t>FliM</w:t>
      </w:r>
      <w:proofErr w:type="spellEnd"/>
      <w:r w:rsidRPr="00485D9D">
        <w:rPr>
          <w:rFonts w:ascii="Times New Roman" w:hAnsi="Times New Roman" w:cs="Times New Roman" w:hint="cs"/>
        </w:rPr>
        <w:t xml:space="preserve">/N (Lynch et al., 2017). This shared scaffold underwent radical functional specialization; for </w:t>
      </w:r>
      <w:proofErr w:type="spellStart"/>
      <w:r w:rsidRPr="00485D9D">
        <w:rPr>
          <w:rFonts w:ascii="Times New Roman" w:hAnsi="Times New Roman" w:cs="Times New Roman" w:hint="cs"/>
        </w:rPr>
        <w:t>FliG</w:t>
      </w:r>
      <w:proofErr w:type="spellEnd"/>
      <w:r w:rsidRPr="00485D9D">
        <w:rPr>
          <w:rFonts w:ascii="Times New Roman" w:hAnsi="Times New Roman" w:cs="Times New Roman" w:hint="cs"/>
        </w:rPr>
        <w:t xml:space="preserve">, evolutionary pressures optimized the ARM repeat for rotary torque transmission, using its </w:t>
      </w:r>
      <w:proofErr w:type="spellStart"/>
      <w:r w:rsidRPr="00485D9D">
        <w:rPr>
          <w:rFonts w:ascii="Times New Roman" w:hAnsi="Times New Roman" w:cs="Times New Roman" w:hint="cs"/>
        </w:rPr>
        <w:t>superhelical</w:t>
      </w:r>
      <w:proofErr w:type="spellEnd"/>
      <w:r w:rsidRPr="00485D9D">
        <w:rPr>
          <w:rFonts w:ascii="Times New Roman" w:hAnsi="Times New Roman" w:cs="Times New Roman" w:hint="cs"/>
        </w:rPr>
        <w:t xml:space="preserve"> geometry for stator coupling and bidirectional switching (</w:t>
      </w:r>
      <w:proofErr w:type="spellStart"/>
      <w:r w:rsidRPr="00485D9D">
        <w:rPr>
          <w:rFonts w:ascii="Times New Roman" w:hAnsi="Times New Roman" w:cs="Times New Roman" w:hint="cs"/>
        </w:rPr>
        <w:t>Beeby</w:t>
      </w:r>
      <w:proofErr w:type="spellEnd"/>
      <w:r w:rsidRPr="00485D9D">
        <w:rPr>
          <w:rFonts w:ascii="Times New Roman" w:hAnsi="Times New Roman" w:cs="Times New Roman" w:hint="cs"/>
        </w:rPr>
        <w:t xml:space="preserve"> et al., 2020). In </w:t>
      </w:r>
      <w:proofErr w:type="spellStart"/>
      <w:r w:rsidRPr="00485D9D">
        <w:rPr>
          <w:rFonts w:ascii="Times New Roman" w:hAnsi="Times New Roman" w:cs="Times New Roman" w:hint="cs"/>
        </w:rPr>
        <w:t>MgtE</w:t>
      </w:r>
      <w:proofErr w:type="spellEnd"/>
      <w:r w:rsidRPr="00485D9D">
        <w:rPr>
          <w:rFonts w:ascii="Times New Roman" w:hAnsi="Times New Roman" w:cs="Times New Roman" w:hint="cs"/>
        </w:rPr>
        <w:t>, the same fold was repurposed as a static Mg²⁺-sensing clamp, rigidifying to allosterically control pore occlusion via CBS domain engagement (</w:t>
      </w:r>
      <w:proofErr w:type="spellStart"/>
      <w:r w:rsidRPr="00485D9D">
        <w:rPr>
          <w:rFonts w:ascii="Times New Roman" w:hAnsi="Times New Roman" w:cs="Times New Roman" w:hint="cs"/>
        </w:rPr>
        <w:t>Jin</w:t>
      </w:r>
      <w:proofErr w:type="spellEnd"/>
      <w:r w:rsidRPr="00485D9D">
        <w:rPr>
          <w:rFonts w:ascii="Times New Roman" w:hAnsi="Times New Roman" w:cs="Times New Roman" w:hint="cs"/>
        </w:rPr>
        <w:t xml:space="preserve"> et al., 2021).</w:t>
      </w:r>
    </w:p>
    <w:p w:rsidR="004F5E42" w:rsidRDefault="004F5E42" w:rsidP="00E4450E">
      <w:pPr>
        <w:spacing w:line="360" w:lineRule="auto"/>
        <w:rPr>
          <w:rFonts w:ascii="Times New Roman" w:hAnsi="Times New Roman" w:cs="Times New Roman"/>
        </w:rPr>
      </w:pPr>
    </w:p>
    <w:p w:rsidR="00B751D5" w:rsidRDefault="00B751D5" w:rsidP="00DF4947">
      <w:pPr>
        <w:rPr>
          <w:rFonts w:ascii="Times New Roman" w:hAnsi="Times New Roman" w:cs="Times New Roman"/>
        </w:rPr>
      </w:pPr>
    </w:p>
    <w:p w:rsidR="00E4450E" w:rsidRDefault="00E4450E" w:rsidP="00DF4947">
      <w:pPr>
        <w:rPr>
          <w:rFonts w:ascii="Times New Roman" w:hAnsi="Times New Roman" w:cs="Times New Roman"/>
          <w:u w:val="single"/>
        </w:rPr>
      </w:pPr>
    </w:p>
    <w:p w:rsidR="00E4450E" w:rsidRDefault="00E4450E" w:rsidP="00DF4947">
      <w:pPr>
        <w:rPr>
          <w:rFonts w:ascii="Times New Roman" w:hAnsi="Times New Roman" w:cs="Times New Roman"/>
          <w:u w:val="single"/>
        </w:rPr>
      </w:pPr>
    </w:p>
    <w:p w:rsidR="00E4450E" w:rsidRDefault="00E4450E" w:rsidP="00DF4947">
      <w:pPr>
        <w:rPr>
          <w:rFonts w:ascii="Times New Roman" w:hAnsi="Times New Roman" w:cs="Times New Roman"/>
          <w:u w:val="single"/>
        </w:rPr>
      </w:pPr>
    </w:p>
    <w:p w:rsidR="00B751D5" w:rsidRPr="00E4450E" w:rsidRDefault="00B751D5" w:rsidP="00E4450E">
      <w:pPr>
        <w:jc w:val="center"/>
        <w:rPr>
          <w:rFonts w:ascii="Times New Roman" w:hAnsi="Times New Roman" w:cs="Times New Roman"/>
        </w:rPr>
      </w:pPr>
      <w:r w:rsidRPr="00E4450E">
        <w:rPr>
          <w:rFonts w:ascii="Times New Roman" w:hAnsi="Times New Roman" w:cs="Times New Roman"/>
        </w:rPr>
        <w:lastRenderedPageBreak/>
        <w:t>References to supplementary information</w:t>
      </w:r>
    </w:p>
    <w:p w:rsidR="00E4450E" w:rsidRDefault="00E4450E" w:rsidP="00DF4947">
      <w:pPr>
        <w:rPr>
          <w:rFonts w:ascii="Times New Roman" w:hAnsi="Times New Roman" w:cs="Times New Roman"/>
          <w:u w:val="single"/>
        </w:rPr>
      </w:pPr>
    </w:p>
    <w:p w:rsidR="00E4450E" w:rsidRPr="00E4450E" w:rsidRDefault="00E4450E" w:rsidP="00E4450E">
      <w:pPr>
        <w:pStyle w:val="Bibliography"/>
        <w:spacing w:line="360" w:lineRule="auto"/>
        <w:rPr>
          <w:rFonts w:ascii="Times New Roman" w:hAnsi="Times New Roman" w:cs="Times New Roman"/>
        </w:rPr>
      </w:pPr>
      <w:r>
        <w:rPr>
          <w:u w:val="single"/>
        </w:rPr>
        <w:fldChar w:fldCharType="begin"/>
      </w:r>
      <w:r>
        <w:rPr>
          <w:u w:val="single"/>
        </w:rPr>
        <w:instrText xml:space="preserve"> ADDIN ZOTERO_BIBL {"uncited":[],"omitted":[],"custom":[]} CSL_BIBLIOGRAPHY </w:instrText>
      </w:r>
      <w:r>
        <w:rPr>
          <w:u w:val="single"/>
        </w:rPr>
        <w:fldChar w:fldCharType="separate"/>
      </w:r>
      <w:r w:rsidRPr="00E4450E">
        <w:rPr>
          <w:rFonts w:ascii="Times New Roman" w:hAnsi="Times New Roman" w:cs="Times New Roman"/>
        </w:rPr>
        <w:t xml:space="preserve">Berg, H. C. (2003). The Rotary Motor of Bacterial Flagella. </w:t>
      </w:r>
      <w:r w:rsidRPr="00E4450E">
        <w:rPr>
          <w:rFonts w:ascii="Times New Roman" w:hAnsi="Times New Roman" w:cs="Times New Roman"/>
          <w:i/>
          <w:iCs/>
        </w:rPr>
        <w:t>Annual Review of Biochemistry</w:t>
      </w:r>
      <w:r w:rsidRPr="00E4450E">
        <w:rPr>
          <w:rFonts w:ascii="Times New Roman" w:hAnsi="Times New Roman" w:cs="Times New Roman"/>
        </w:rPr>
        <w:t xml:space="preserve">, </w:t>
      </w:r>
      <w:r w:rsidRPr="00E4450E">
        <w:rPr>
          <w:rFonts w:ascii="Times New Roman" w:hAnsi="Times New Roman" w:cs="Times New Roman"/>
          <w:i/>
          <w:iCs/>
        </w:rPr>
        <w:t>72</w:t>
      </w:r>
      <w:r w:rsidRPr="00E4450E">
        <w:rPr>
          <w:rFonts w:ascii="Times New Roman" w:hAnsi="Times New Roman" w:cs="Times New Roman"/>
        </w:rPr>
        <w:t>(1), 19</w:t>
      </w:r>
      <w:r w:rsidRPr="00E4450E">
        <w:rPr>
          <w:rFonts w:ascii="Times New Roman" w:hAnsi="Times New Roman" w:cs="Times New Roman" w:hint="cs"/>
        </w:rPr>
        <w:t>–</w:t>
      </w:r>
      <w:r w:rsidRPr="00E4450E">
        <w:rPr>
          <w:rFonts w:ascii="Times New Roman" w:hAnsi="Times New Roman" w:cs="Times New Roman"/>
        </w:rPr>
        <w:t>54. https://doi.org/10.1146/annurev.biochem.72.121801.161737</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Deme, J. C., Johnson, S., Vickery, O., Aron, A., Monkhouse, H., Griffiths, T., James, R. H., Berks, B. C., Coulton, J. W., Stansfeld, P. J., &amp; Lea, S. M. (2020). Structures of the stator complex that drives rotation of the bacterial flagellum. </w:t>
      </w:r>
      <w:r w:rsidRPr="00E4450E">
        <w:rPr>
          <w:rFonts w:ascii="Times New Roman" w:hAnsi="Times New Roman" w:cs="Times New Roman"/>
          <w:i/>
          <w:iCs/>
        </w:rPr>
        <w:t>Nature Microbiology</w:t>
      </w:r>
      <w:r w:rsidRPr="00E4450E">
        <w:rPr>
          <w:rFonts w:ascii="Times New Roman" w:hAnsi="Times New Roman" w:cs="Times New Roman"/>
        </w:rPr>
        <w:t xml:space="preserve">, </w:t>
      </w:r>
      <w:r w:rsidRPr="00E4450E">
        <w:rPr>
          <w:rFonts w:ascii="Times New Roman" w:hAnsi="Times New Roman" w:cs="Times New Roman"/>
          <w:i/>
          <w:iCs/>
        </w:rPr>
        <w:t>5</w:t>
      </w:r>
      <w:r w:rsidRPr="00E4450E">
        <w:rPr>
          <w:rFonts w:ascii="Times New Roman" w:hAnsi="Times New Roman" w:cs="Times New Roman"/>
        </w:rPr>
        <w:t>(12), 1553</w:t>
      </w:r>
      <w:r w:rsidRPr="00E4450E">
        <w:rPr>
          <w:rFonts w:ascii="Times New Roman" w:hAnsi="Times New Roman" w:cs="Times New Roman" w:hint="cs"/>
        </w:rPr>
        <w:t>–</w:t>
      </w:r>
      <w:r w:rsidRPr="00E4450E">
        <w:rPr>
          <w:rFonts w:ascii="Times New Roman" w:hAnsi="Times New Roman" w:cs="Times New Roman"/>
        </w:rPr>
        <w:t>1564. https://doi.org/10.1038/s41564-020-0788-8</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Erhardt, M., Namba, K., &amp; Hughes, K. T. (2010). Bacterial Nanomachines: The Flagellum and Type III Injectisome. </w:t>
      </w:r>
      <w:r w:rsidRPr="00E4450E">
        <w:rPr>
          <w:rFonts w:ascii="Times New Roman" w:hAnsi="Times New Roman" w:cs="Times New Roman"/>
          <w:i/>
          <w:iCs/>
        </w:rPr>
        <w:t>Cold Spring Harbor Perspectives in Biology</w:t>
      </w:r>
      <w:r w:rsidRPr="00E4450E">
        <w:rPr>
          <w:rFonts w:ascii="Times New Roman" w:hAnsi="Times New Roman" w:cs="Times New Roman"/>
        </w:rPr>
        <w:t xml:space="preserve">, </w:t>
      </w:r>
      <w:r w:rsidRPr="00E4450E">
        <w:rPr>
          <w:rFonts w:ascii="Times New Roman" w:hAnsi="Times New Roman" w:cs="Times New Roman"/>
          <w:i/>
          <w:iCs/>
        </w:rPr>
        <w:t>2</w:t>
      </w:r>
      <w:r w:rsidRPr="00E4450E">
        <w:rPr>
          <w:rFonts w:ascii="Times New Roman" w:hAnsi="Times New Roman" w:cs="Times New Roman"/>
        </w:rPr>
        <w:t>(11), a000299</w:t>
      </w:r>
      <w:r w:rsidRPr="00E4450E">
        <w:rPr>
          <w:rFonts w:ascii="Times New Roman" w:hAnsi="Times New Roman" w:cs="Times New Roman" w:hint="cs"/>
        </w:rPr>
        <w:t>–</w:t>
      </w:r>
      <w:r w:rsidRPr="00E4450E">
        <w:rPr>
          <w:rFonts w:ascii="Times New Roman" w:hAnsi="Times New Roman" w:cs="Times New Roman"/>
        </w:rPr>
        <w:t>a000299. https://doi.org/10.1101/cshperspect.a000299</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Hirano, T., Yamaguchi, S., Oosawa, K., &amp; Aizawa, S. (1994). Roles of FliK and FlhB in determination of flagellar hook length in Salmonella typhimurium. </w:t>
      </w:r>
      <w:r w:rsidRPr="00E4450E">
        <w:rPr>
          <w:rFonts w:ascii="Times New Roman" w:hAnsi="Times New Roman" w:cs="Times New Roman"/>
          <w:i/>
          <w:iCs/>
        </w:rPr>
        <w:t>Journal of Bacteriology</w:t>
      </w:r>
      <w:r w:rsidRPr="00E4450E">
        <w:rPr>
          <w:rFonts w:ascii="Times New Roman" w:hAnsi="Times New Roman" w:cs="Times New Roman"/>
        </w:rPr>
        <w:t xml:space="preserve">, </w:t>
      </w:r>
      <w:r w:rsidRPr="00E4450E">
        <w:rPr>
          <w:rFonts w:ascii="Times New Roman" w:hAnsi="Times New Roman" w:cs="Times New Roman"/>
          <w:i/>
          <w:iCs/>
        </w:rPr>
        <w:t>176</w:t>
      </w:r>
      <w:r w:rsidRPr="00E4450E">
        <w:rPr>
          <w:rFonts w:ascii="Times New Roman" w:hAnsi="Times New Roman" w:cs="Times New Roman"/>
        </w:rPr>
        <w:t>(17), 5439</w:t>
      </w:r>
      <w:r w:rsidRPr="00E4450E">
        <w:rPr>
          <w:rFonts w:ascii="Times New Roman" w:hAnsi="Times New Roman" w:cs="Times New Roman" w:hint="cs"/>
        </w:rPr>
        <w:t>–</w:t>
      </w:r>
      <w:r w:rsidRPr="00E4450E">
        <w:rPr>
          <w:rFonts w:ascii="Times New Roman" w:hAnsi="Times New Roman" w:cs="Times New Roman"/>
        </w:rPr>
        <w:t>5449. https://doi.org/10.1128/jb.176.17.5439-5449.1994</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Johnson, S., Deme, J. C., Furlong, E. J., Caesar, J. J. E., Chevance, F. F. V., Hughes, K. T., &amp; Lea, S. M. (2024). Structural basis of directional switching by the bacterial flagellum. </w:t>
      </w:r>
      <w:r w:rsidRPr="00E4450E">
        <w:rPr>
          <w:rFonts w:ascii="Times New Roman" w:hAnsi="Times New Roman" w:cs="Times New Roman"/>
          <w:i/>
          <w:iCs/>
        </w:rPr>
        <w:t>Nature Microbiology</w:t>
      </w:r>
      <w:r w:rsidRPr="00E4450E">
        <w:rPr>
          <w:rFonts w:ascii="Times New Roman" w:hAnsi="Times New Roman" w:cs="Times New Roman"/>
        </w:rPr>
        <w:t xml:space="preserve">, </w:t>
      </w:r>
      <w:r w:rsidRPr="00E4450E">
        <w:rPr>
          <w:rFonts w:ascii="Times New Roman" w:hAnsi="Times New Roman" w:cs="Times New Roman"/>
          <w:i/>
          <w:iCs/>
        </w:rPr>
        <w:t>9</w:t>
      </w:r>
      <w:r w:rsidRPr="00E4450E">
        <w:rPr>
          <w:rFonts w:ascii="Times New Roman" w:hAnsi="Times New Roman" w:cs="Times New Roman"/>
        </w:rPr>
        <w:t>(5), 1282</w:t>
      </w:r>
      <w:r w:rsidRPr="00E4450E">
        <w:rPr>
          <w:rFonts w:ascii="Times New Roman" w:hAnsi="Times New Roman" w:cs="Times New Roman" w:hint="cs"/>
        </w:rPr>
        <w:t>–</w:t>
      </w:r>
      <w:r w:rsidRPr="00E4450E">
        <w:rPr>
          <w:rFonts w:ascii="Times New Roman" w:hAnsi="Times New Roman" w:cs="Times New Roman"/>
        </w:rPr>
        <w:t>1292. https://doi.org/10.1038/s41564-024-01630-z</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Johnson, S., Furlong, E. J., Deme, J. C., Nord, A. L., Caesar, J. J. E., Chevance, F. F. V., Berry, R. M., Hughes, K. T., &amp; Lea, S. M. (2021). Molecular structure of the intact bacterial flagellar basal body. </w:t>
      </w:r>
      <w:r w:rsidRPr="00E4450E">
        <w:rPr>
          <w:rFonts w:ascii="Times New Roman" w:hAnsi="Times New Roman" w:cs="Times New Roman"/>
          <w:i/>
          <w:iCs/>
        </w:rPr>
        <w:t>Nature Microbiology</w:t>
      </w:r>
      <w:r w:rsidRPr="00E4450E">
        <w:rPr>
          <w:rFonts w:ascii="Times New Roman" w:hAnsi="Times New Roman" w:cs="Times New Roman"/>
        </w:rPr>
        <w:t xml:space="preserve">, </w:t>
      </w:r>
      <w:r w:rsidRPr="00E4450E">
        <w:rPr>
          <w:rFonts w:ascii="Times New Roman" w:hAnsi="Times New Roman" w:cs="Times New Roman"/>
          <w:i/>
          <w:iCs/>
        </w:rPr>
        <w:t>6</w:t>
      </w:r>
      <w:r w:rsidRPr="00E4450E">
        <w:rPr>
          <w:rFonts w:ascii="Times New Roman" w:hAnsi="Times New Roman" w:cs="Times New Roman"/>
        </w:rPr>
        <w:t>(6), 712</w:t>
      </w:r>
      <w:r w:rsidRPr="00E4450E">
        <w:rPr>
          <w:rFonts w:ascii="Times New Roman" w:hAnsi="Times New Roman" w:cs="Times New Roman" w:hint="cs"/>
        </w:rPr>
        <w:t>–</w:t>
      </w:r>
      <w:r w:rsidRPr="00E4450E">
        <w:rPr>
          <w:rFonts w:ascii="Times New Roman" w:hAnsi="Times New Roman" w:cs="Times New Roman"/>
        </w:rPr>
        <w:t>721. https://doi.org/10.1038/s41564-021-00895-y</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Macnab, R. M. (2003). How Bacteria Assemble Flagella. </w:t>
      </w:r>
      <w:r w:rsidRPr="00E4450E">
        <w:rPr>
          <w:rFonts w:ascii="Times New Roman" w:hAnsi="Times New Roman" w:cs="Times New Roman"/>
          <w:i/>
          <w:iCs/>
        </w:rPr>
        <w:t>Annual Review of Microbiology</w:t>
      </w:r>
      <w:r w:rsidRPr="00E4450E">
        <w:rPr>
          <w:rFonts w:ascii="Times New Roman" w:hAnsi="Times New Roman" w:cs="Times New Roman"/>
        </w:rPr>
        <w:t xml:space="preserve">, </w:t>
      </w:r>
      <w:r w:rsidRPr="00E4450E">
        <w:rPr>
          <w:rFonts w:ascii="Times New Roman" w:hAnsi="Times New Roman" w:cs="Times New Roman"/>
          <w:i/>
          <w:iCs/>
        </w:rPr>
        <w:t>57</w:t>
      </w:r>
      <w:r w:rsidRPr="00E4450E">
        <w:rPr>
          <w:rFonts w:ascii="Times New Roman" w:hAnsi="Times New Roman" w:cs="Times New Roman"/>
        </w:rPr>
        <w:t>(1), 77</w:t>
      </w:r>
      <w:r w:rsidRPr="00E4450E">
        <w:rPr>
          <w:rFonts w:ascii="Times New Roman" w:hAnsi="Times New Roman" w:cs="Times New Roman" w:hint="cs"/>
        </w:rPr>
        <w:t>–</w:t>
      </w:r>
      <w:r w:rsidRPr="00E4450E">
        <w:rPr>
          <w:rFonts w:ascii="Times New Roman" w:hAnsi="Times New Roman" w:cs="Times New Roman"/>
        </w:rPr>
        <w:t>100. https://doi.org/10.1146/annurev.micro.57.030502.090832</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Magariyama, Y., &amp; Kudo, S. (2002). A Mathematical Explanation of an Increase in Bacterial Swimming Speed with Viscosity in Linear-Polymer Solutions. </w:t>
      </w:r>
      <w:r w:rsidRPr="00E4450E">
        <w:rPr>
          <w:rFonts w:ascii="Times New Roman" w:hAnsi="Times New Roman" w:cs="Times New Roman"/>
          <w:i/>
          <w:iCs/>
        </w:rPr>
        <w:t>Biophysical Journal</w:t>
      </w:r>
      <w:r w:rsidRPr="00E4450E">
        <w:rPr>
          <w:rFonts w:ascii="Times New Roman" w:hAnsi="Times New Roman" w:cs="Times New Roman"/>
        </w:rPr>
        <w:t xml:space="preserve">, </w:t>
      </w:r>
      <w:r w:rsidRPr="00E4450E">
        <w:rPr>
          <w:rFonts w:ascii="Times New Roman" w:hAnsi="Times New Roman" w:cs="Times New Roman"/>
          <w:i/>
          <w:iCs/>
        </w:rPr>
        <w:t>83</w:t>
      </w:r>
      <w:r w:rsidRPr="00E4450E">
        <w:rPr>
          <w:rFonts w:ascii="Times New Roman" w:hAnsi="Times New Roman" w:cs="Times New Roman"/>
        </w:rPr>
        <w:t>(2), 733</w:t>
      </w:r>
      <w:r w:rsidRPr="00E4450E">
        <w:rPr>
          <w:rFonts w:ascii="Times New Roman" w:hAnsi="Times New Roman" w:cs="Times New Roman" w:hint="cs"/>
        </w:rPr>
        <w:t>–</w:t>
      </w:r>
      <w:r w:rsidRPr="00E4450E">
        <w:rPr>
          <w:rFonts w:ascii="Times New Roman" w:hAnsi="Times New Roman" w:cs="Times New Roman"/>
        </w:rPr>
        <w:t>739. https://doi.org/10.1016/S0006-3495(02)75204-1</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Minamino, T., &amp; Namba, K. (2008). Distinct roles of the FliI ATPase and proton motive force in bacterial flagellar protein export. </w:t>
      </w:r>
      <w:r w:rsidRPr="00E4450E">
        <w:rPr>
          <w:rFonts w:ascii="Times New Roman" w:hAnsi="Times New Roman" w:cs="Times New Roman"/>
          <w:i/>
          <w:iCs/>
        </w:rPr>
        <w:t>Nature</w:t>
      </w:r>
      <w:r w:rsidRPr="00E4450E">
        <w:rPr>
          <w:rFonts w:ascii="Times New Roman" w:hAnsi="Times New Roman" w:cs="Times New Roman"/>
        </w:rPr>
        <w:t xml:space="preserve">, </w:t>
      </w:r>
      <w:r w:rsidRPr="00E4450E">
        <w:rPr>
          <w:rFonts w:ascii="Times New Roman" w:hAnsi="Times New Roman" w:cs="Times New Roman"/>
          <w:i/>
          <w:iCs/>
        </w:rPr>
        <w:t>451</w:t>
      </w:r>
      <w:r w:rsidRPr="00E4450E">
        <w:rPr>
          <w:rFonts w:ascii="Times New Roman" w:hAnsi="Times New Roman" w:cs="Times New Roman"/>
        </w:rPr>
        <w:t>(7177), 485</w:t>
      </w:r>
      <w:r w:rsidRPr="00E4450E">
        <w:rPr>
          <w:rFonts w:ascii="Times New Roman" w:hAnsi="Times New Roman" w:cs="Times New Roman" w:hint="cs"/>
        </w:rPr>
        <w:t>–</w:t>
      </w:r>
      <w:r w:rsidRPr="00E4450E">
        <w:rPr>
          <w:rFonts w:ascii="Times New Roman" w:hAnsi="Times New Roman" w:cs="Times New Roman"/>
        </w:rPr>
        <w:t>488. https://doi.org/10.1038/nature06449</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Paul, K., Gonzalez-Bonet, G., Bilwes, A. M., Crane, B. R., &amp; Blair, D. (2011). Architecture of the flagellar rotor: Architecture of the flagellar rotor. </w:t>
      </w:r>
      <w:r w:rsidRPr="00E4450E">
        <w:rPr>
          <w:rFonts w:ascii="Times New Roman" w:hAnsi="Times New Roman" w:cs="Times New Roman"/>
          <w:i/>
          <w:iCs/>
        </w:rPr>
        <w:t>The EMBO Journal</w:t>
      </w:r>
      <w:r w:rsidRPr="00E4450E">
        <w:rPr>
          <w:rFonts w:ascii="Times New Roman" w:hAnsi="Times New Roman" w:cs="Times New Roman"/>
        </w:rPr>
        <w:t xml:space="preserve">, </w:t>
      </w:r>
      <w:r w:rsidRPr="00E4450E">
        <w:rPr>
          <w:rFonts w:ascii="Times New Roman" w:hAnsi="Times New Roman" w:cs="Times New Roman"/>
          <w:i/>
          <w:iCs/>
        </w:rPr>
        <w:t>30</w:t>
      </w:r>
      <w:r w:rsidRPr="00E4450E">
        <w:rPr>
          <w:rFonts w:ascii="Times New Roman" w:hAnsi="Times New Roman" w:cs="Times New Roman"/>
        </w:rPr>
        <w:t>(14), 2962</w:t>
      </w:r>
      <w:r w:rsidRPr="00E4450E">
        <w:rPr>
          <w:rFonts w:ascii="Times New Roman" w:hAnsi="Times New Roman" w:cs="Times New Roman" w:hint="cs"/>
        </w:rPr>
        <w:t>–</w:t>
      </w:r>
      <w:r w:rsidRPr="00E4450E">
        <w:rPr>
          <w:rFonts w:ascii="Times New Roman" w:hAnsi="Times New Roman" w:cs="Times New Roman"/>
        </w:rPr>
        <w:t>2971. https://doi.org/10.1038/emboj.2011.188</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lastRenderedPageBreak/>
        <w:t xml:space="preserve">Rieu, M., Krutyholowa, R., Taylor, N. M. I., &amp; Berry, R. M. (2022). A new class of biological ion-driven rotary molecular motors with 5:2 symmetry. </w:t>
      </w:r>
      <w:r w:rsidRPr="00E4450E">
        <w:rPr>
          <w:rFonts w:ascii="Times New Roman" w:hAnsi="Times New Roman" w:cs="Times New Roman"/>
          <w:i/>
          <w:iCs/>
        </w:rPr>
        <w:t>Frontiers in Microbiology</w:t>
      </w:r>
      <w:r w:rsidRPr="00E4450E">
        <w:rPr>
          <w:rFonts w:ascii="Times New Roman" w:hAnsi="Times New Roman" w:cs="Times New Roman"/>
        </w:rPr>
        <w:t xml:space="preserve">, </w:t>
      </w:r>
      <w:r w:rsidRPr="00E4450E">
        <w:rPr>
          <w:rFonts w:ascii="Times New Roman" w:hAnsi="Times New Roman" w:cs="Times New Roman"/>
          <w:i/>
          <w:iCs/>
        </w:rPr>
        <w:t>13</w:t>
      </w:r>
      <w:r w:rsidRPr="00E4450E">
        <w:rPr>
          <w:rFonts w:ascii="Times New Roman" w:hAnsi="Times New Roman" w:cs="Times New Roman"/>
        </w:rPr>
        <w:t>, 948383. https://doi.org/10.3389/fmicb.2022.948383</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Samatey, F. A., Matsunami, H., Imada, K., Nagashima, S., Shaikh, T. R., Thomas, D. R., Chen, J. Z., DeRosier, D. J., Kitao, A., &amp; Namba, K. (2004). Structure of the bacterial flagellar hook and implication for the molecular universal joint mechanism. </w:t>
      </w:r>
      <w:r w:rsidRPr="00E4450E">
        <w:rPr>
          <w:rFonts w:ascii="Times New Roman" w:hAnsi="Times New Roman" w:cs="Times New Roman"/>
          <w:i/>
          <w:iCs/>
        </w:rPr>
        <w:t>Nature</w:t>
      </w:r>
      <w:r w:rsidRPr="00E4450E">
        <w:rPr>
          <w:rFonts w:ascii="Times New Roman" w:hAnsi="Times New Roman" w:cs="Times New Roman"/>
        </w:rPr>
        <w:t xml:space="preserve">, </w:t>
      </w:r>
      <w:r w:rsidRPr="00E4450E">
        <w:rPr>
          <w:rFonts w:ascii="Times New Roman" w:hAnsi="Times New Roman" w:cs="Times New Roman"/>
          <w:i/>
          <w:iCs/>
        </w:rPr>
        <w:t>431</w:t>
      </w:r>
      <w:r w:rsidRPr="00E4450E">
        <w:rPr>
          <w:rFonts w:ascii="Times New Roman" w:hAnsi="Times New Roman" w:cs="Times New Roman"/>
        </w:rPr>
        <w:t>(7012), 1062</w:t>
      </w:r>
      <w:r w:rsidRPr="00E4450E">
        <w:rPr>
          <w:rFonts w:ascii="Times New Roman" w:hAnsi="Times New Roman" w:cs="Times New Roman" w:hint="cs"/>
        </w:rPr>
        <w:t>–</w:t>
      </w:r>
      <w:r w:rsidRPr="00E4450E">
        <w:rPr>
          <w:rFonts w:ascii="Times New Roman" w:hAnsi="Times New Roman" w:cs="Times New Roman"/>
        </w:rPr>
        <w:t>1068. https://doi.org/10.1038/nature02997</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Santiveri, M., Roa-Eguiara, A., K</w:t>
      </w:r>
      <w:r w:rsidRPr="00E4450E">
        <w:rPr>
          <w:rFonts w:ascii="Times New Roman" w:hAnsi="Times New Roman" w:cs="Times New Roman" w:hint="cs"/>
        </w:rPr>
        <w:t>ü</w:t>
      </w:r>
      <w:r w:rsidRPr="00E4450E">
        <w:rPr>
          <w:rFonts w:ascii="Times New Roman" w:hAnsi="Times New Roman" w:cs="Times New Roman"/>
        </w:rPr>
        <w:t xml:space="preserve">hne, C., Wadhwa, N., Hu, H., Berg, H. C., Erhardt, M., &amp; Taylor, N. M. I. (2020). Structure and Function of Stator Units of the Bacterial Flagellar Motor. </w:t>
      </w:r>
      <w:r w:rsidRPr="00E4450E">
        <w:rPr>
          <w:rFonts w:ascii="Times New Roman" w:hAnsi="Times New Roman" w:cs="Times New Roman"/>
          <w:i/>
          <w:iCs/>
        </w:rPr>
        <w:t>Cell</w:t>
      </w:r>
      <w:r w:rsidRPr="00E4450E">
        <w:rPr>
          <w:rFonts w:ascii="Times New Roman" w:hAnsi="Times New Roman" w:cs="Times New Roman"/>
        </w:rPr>
        <w:t xml:space="preserve">, </w:t>
      </w:r>
      <w:r w:rsidRPr="00E4450E">
        <w:rPr>
          <w:rFonts w:ascii="Times New Roman" w:hAnsi="Times New Roman" w:cs="Times New Roman"/>
          <w:i/>
          <w:iCs/>
        </w:rPr>
        <w:t>183</w:t>
      </w:r>
      <w:r w:rsidRPr="00E4450E">
        <w:rPr>
          <w:rFonts w:ascii="Times New Roman" w:hAnsi="Times New Roman" w:cs="Times New Roman"/>
        </w:rPr>
        <w:t>(1), 244-257.e16. https://doi.org/10.1016/j.cell.2020.08.016</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Summers, J. K., &amp; Kreft, J.-U. (2022). Predation Strategies of the Bacterium Bdellovibrio bacteriovorus Result in Overexploitation and Bottlenecks. </w:t>
      </w:r>
      <w:r w:rsidRPr="00E4450E">
        <w:rPr>
          <w:rFonts w:ascii="Times New Roman" w:hAnsi="Times New Roman" w:cs="Times New Roman"/>
          <w:i/>
          <w:iCs/>
        </w:rPr>
        <w:t>Applied and Environmental Microbiology</w:t>
      </w:r>
      <w:r w:rsidRPr="00E4450E">
        <w:rPr>
          <w:rFonts w:ascii="Times New Roman" w:hAnsi="Times New Roman" w:cs="Times New Roman"/>
        </w:rPr>
        <w:t xml:space="preserve">, </w:t>
      </w:r>
      <w:r w:rsidRPr="00E4450E">
        <w:rPr>
          <w:rFonts w:ascii="Times New Roman" w:hAnsi="Times New Roman" w:cs="Times New Roman"/>
          <w:i/>
          <w:iCs/>
        </w:rPr>
        <w:t>88</w:t>
      </w:r>
      <w:r w:rsidRPr="00E4450E">
        <w:rPr>
          <w:rFonts w:ascii="Times New Roman" w:hAnsi="Times New Roman" w:cs="Times New Roman"/>
        </w:rPr>
        <w:t>(1), e01082-21. https://doi.org/10.1128/AEM.01082-21</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Tan, J., Zhang, L., Zhou, X., Han, S., Zhou, Y., &amp; Zhu, Y. (2024). Structural basis of the bacterial flagellar motor rotational switching. </w:t>
      </w:r>
      <w:r w:rsidRPr="00E4450E">
        <w:rPr>
          <w:rFonts w:ascii="Times New Roman" w:hAnsi="Times New Roman" w:cs="Times New Roman"/>
          <w:i/>
          <w:iCs/>
        </w:rPr>
        <w:t>Cell Research</w:t>
      </w:r>
      <w:r w:rsidRPr="00E4450E">
        <w:rPr>
          <w:rFonts w:ascii="Times New Roman" w:hAnsi="Times New Roman" w:cs="Times New Roman"/>
        </w:rPr>
        <w:t xml:space="preserve">, </w:t>
      </w:r>
      <w:r w:rsidRPr="00E4450E">
        <w:rPr>
          <w:rFonts w:ascii="Times New Roman" w:hAnsi="Times New Roman" w:cs="Times New Roman"/>
          <w:i/>
          <w:iCs/>
        </w:rPr>
        <w:t>34</w:t>
      </w:r>
      <w:r w:rsidRPr="00E4450E">
        <w:rPr>
          <w:rFonts w:ascii="Times New Roman" w:hAnsi="Times New Roman" w:cs="Times New Roman"/>
        </w:rPr>
        <w:t>(11), 788</w:t>
      </w:r>
      <w:r w:rsidRPr="00E4450E">
        <w:rPr>
          <w:rFonts w:ascii="Times New Roman" w:hAnsi="Times New Roman" w:cs="Times New Roman" w:hint="cs"/>
        </w:rPr>
        <w:t>–</w:t>
      </w:r>
      <w:r w:rsidRPr="00E4450E">
        <w:rPr>
          <w:rFonts w:ascii="Times New Roman" w:hAnsi="Times New Roman" w:cs="Times New Roman"/>
        </w:rPr>
        <w:t>801. https://doi.org/10.1038/s41422-024-01017-z</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Yamaguchi, T., Makino, F., Miyata, T., Minamino, T., Kato, T., &amp; Namba, K. (2021). Structure of the molecular bushing of the bacterial flagellar motor. </w:t>
      </w:r>
      <w:r w:rsidRPr="00E4450E">
        <w:rPr>
          <w:rFonts w:ascii="Times New Roman" w:hAnsi="Times New Roman" w:cs="Times New Roman"/>
          <w:i/>
          <w:iCs/>
        </w:rPr>
        <w:t>Nature Communications</w:t>
      </w:r>
      <w:r w:rsidRPr="00E4450E">
        <w:rPr>
          <w:rFonts w:ascii="Times New Roman" w:hAnsi="Times New Roman" w:cs="Times New Roman"/>
        </w:rPr>
        <w:t xml:space="preserve">, </w:t>
      </w:r>
      <w:r w:rsidRPr="00E4450E">
        <w:rPr>
          <w:rFonts w:ascii="Times New Roman" w:hAnsi="Times New Roman" w:cs="Times New Roman"/>
          <w:i/>
          <w:iCs/>
        </w:rPr>
        <w:t>12</w:t>
      </w:r>
      <w:r w:rsidRPr="00E4450E">
        <w:rPr>
          <w:rFonts w:ascii="Times New Roman" w:hAnsi="Times New Roman" w:cs="Times New Roman"/>
        </w:rPr>
        <w:t>(1), 4469. https://doi.org/10.1038/s41467-021-24715-3</w:t>
      </w:r>
    </w:p>
    <w:p w:rsidR="00E4450E" w:rsidRPr="00E4450E" w:rsidRDefault="00E4450E" w:rsidP="00E4450E">
      <w:pPr>
        <w:pStyle w:val="Bibliography"/>
        <w:spacing w:line="360" w:lineRule="auto"/>
        <w:rPr>
          <w:rFonts w:ascii="Times New Roman" w:hAnsi="Times New Roman" w:cs="Times New Roman"/>
        </w:rPr>
      </w:pPr>
      <w:r w:rsidRPr="00E4450E">
        <w:rPr>
          <w:rFonts w:ascii="Times New Roman" w:hAnsi="Times New Roman" w:cs="Times New Roman"/>
        </w:rPr>
        <w:t xml:space="preserve">Yonekura, K., Maki-Yonekura, S., &amp; Namba, K. (2003). Complete atomic model of the bacterial flagellar filament by electron cryomicroscopy. </w:t>
      </w:r>
      <w:r w:rsidRPr="00E4450E">
        <w:rPr>
          <w:rFonts w:ascii="Times New Roman" w:hAnsi="Times New Roman" w:cs="Times New Roman"/>
          <w:i/>
          <w:iCs/>
        </w:rPr>
        <w:t>Nature</w:t>
      </w:r>
      <w:r w:rsidRPr="00E4450E">
        <w:rPr>
          <w:rFonts w:ascii="Times New Roman" w:hAnsi="Times New Roman" w:cs="Times New Roman"/>
        </w:rPr>
        <w:t xml:space="preserve">, </w:t>
      </w:r>
      <w:r w:rsidRPr="00E4450E">
        <w:rPr>
          <w:rFonts w:ascii="Times New Roman" w:hAnsi="Times New Roman" w:cs="Times New Roman"/>
          <w:i/>
          <w:iCs/>
        </w:rPr>
        <w:t>424</w:t>
      </w:r>
      <w:r w:rsidRPr="00E4450E">
        <w:rPr>
          <w:rFonts w:ascii="Times New Roman" w:hAnsi="Times New Roman" w:cs="Times New Roman"/>
        </w:rPr>
        <w:t>(6949), 643</w:t>
      </w:r>
      <w:r w:rsidRPr="00E4450E">
        <w:rPr>
          <w:rFonts w:ascii="Times New Roman" w:hAnsi="Times New Roman" w:cs="Times New Roman" w:hint="cs"/>
        </w:rPr>
        <w:t>–</w:t>
      </w:r>
      <w:r w:rsidRPr="00E4450E">
        <w:rPr>
          <w:rFonts w:ascii="Times New Roman" w:hAnsi="Times New Roman" w:cs="Times New Roman"/>
        </w:rPr>
        <w:t>650. https://doi.org/10.1038/nature01830</w:t>
      </w:r>
    </w:p>
    <w:p w:rsidR="00E4450E" w:rsidRPr="00B751D5" w:rsidRDefault="00E4450E" w:rsidP="00E4450E">
      <w:pPr>
        <w:spacing w:line="360" w:lineRule="auto"/>
        <w:rPr>
          <w:rFonts w:ascii="Times New Roman" w:hAnsi="Times New Roman" w:cs="Times New Roman"/>
          <w:u w:val="single"/>
        </w:rPr>
      </w:pPr>
      <w:r>
        <w:rPr>
          <w:rFonts w:ascii="Times New Roman" w:hAnsi="Times New Roman" w:cs="Times New Roman"/>
          <w:u w:val="single"/>
        </w:rPr>
        <w:fldChar w:fldCharType="end"/>
      </w:r>
    </w:p>
    <w:sectPr w:rsidR="00E4450E" w:rsidRPr="00B7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CC"/>
    <w:rsid w:val="003B38BA"/>
    <w:rsid w:val="003C2B53"/>
    <w:rsid w:val="00485D9D"/>
    <w:rsid w:val="004D6FCB"/>
    <w:rsid w:val="004F5E42"/>
    <w:rsid w:val="0053113E"/>
    <w:rsid w:val="00682329"/>
    <w:rsid w:val="006C37CC"/>
    <w:rsid w:val="006E5AC0"/>
    <w:rsid w:val="00B751D5"/>
    <w:rsid w:val="00DF4947"/>
    <w:rsid w:val="00E40608"/>
    <w:rsid w:val="00E4450E"/>
    <w:rsid w:val="00ED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0E1EC"/>
  <w15:chartTrackingRefBased/>
  <w15:docId w15:val="{57B91784-C62D-1744-8370-0829E351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4450E"/>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4501</Words>
  <Characters>25662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Kaul</dc:creator>
  <cp:keywords/>
  <dc:description/>
  <cp:lastModifiedBy>Arya Kaul</cp:lastModifiedBy>
  <cp:revision>7</cp:revision>
  <dcterms:created xsi:type="dcterms:W3CDTF">2025-07-08T09:50:00Z</dcterms:created>
  <dcterms:modified xsi:type="dcterms:W3CDTF">2025-07-10T13:27:00Z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zotero-version="7.0.18"&gt;&lt;session id="Zlku71Xo"/&gt;&lt;style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