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FAF4" w14:textId="59355344" w:rsidR="001B439F" w:rsidRPr="0096153B" w:rsidRDefault="001B439F" w:rsidP="001B439F">
      <w:pPr>
        <w:pStyle w:val="Heading1"/>
        <w:pageBreakBefore/>
        <w:pBdr>
          <w:bottom w:val="single" w:sz="8" w:space="4" w:color="1F3864"/>
        </w:pBdr>
        <w:rPr>
          <w:rFonts w:ascii="Times New Roman" w:hAnsi="Times New Roman" w:cs="Times New Roman"/>
        </w:rPr>
      </w:pPr>
      <w:bookmarkStart w:id="0" w:name="_Toc239347814"/>
      <w:r w:rsidRPr="0096153B">
        <w:rPr>
          <w:rFonts w:ascii="Times New Roman" w:eastAsia="Calibri" w:hAnsi="Times New Roman" w:cs="Times New Roman"/>
          <w:b/>
          <w:bCs/>
          <w:color w:val="1F3864"/>
          <w:sz w:val="30"/>
          <w:szCs w:val="30"/>
        </w:rPr>
        <w:t>Methodology &amp; Limitations</w:t>
      </w:r>
      <w:bookmarkEnd w:id="0"/>
    </w:p>
    <w:p w14:paraId="66352F4A" w14:textId="35B3E110" w:rsidR="001B439F" w:rsidRPr="0096153B" w:rsidRDefault="001B439F" w:rsidP="001B439F">
      <w:pPr>
        <w:pStyle w:val="Heading2"/>
        <w:rPr>
          <w:rFonts w:ascii="Times New Roman" w:hAnsi="Times New Roman" w:cs="Times New Roman"/>
        </w:rPr>
      </w:pPr>
      <w:bookmarkStart w:id="1" w:name="_Toc239347815"/>
      <w:r w:rsidRPr="0096153B">
        <w:rPr>
          <w:rFonts w:ascii="Times New Roman" w:eastAsia="Calibri" w:hAnsi="Times New Roman" w:cs="Times New Roman"/>
          <w:b/>
          <w:bCs/>
          <w:color w:val="2E5395"/>
          <w:sz w:val="24"/>
          <w:szCs w:val="24"/>
        </w:rPr>
        <w:t>1 Approach</w:t>
      </w:r>
      <w:bookmarkEnd w:id="1"/>
    </w:p>
    <w:p w14:paraId="2164231E" w14:textId="77777777" w:rsidR="001B439F" w:rsidRPr="0096153B" w:rsidRDefault="001B439F" w:rsidP="001B439F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The analytical sequence follows a standard commercial-analytics pattern: audit, then segment, then model. All core calculations were performed in SQL against the source MySQL database so that every figure in this report is directly reproducible; Excel and Power BI were used one layer up, to package and visualize the same corrected query outputs for stakeholder consumption.</w:t>
      </w:r>
    </w:p>
    <w:p w14:paraId="19A40BB2" w14:textId="091D6773" w:rsidR="001B439F" w:rsidRPr="0096153B" w:rsidRDefault="001B439F" w:rsidP="001B439F">
      <w:pPr>
        <w:pStyle w:val="Heading2"/>
        <w:rPr>
          <w:rFonts w:ascii="Times New Roman" w:hAnsi="Times New Roman" w:cs="Times New Roman"/>
        </w:rPr>
      </w:pPr>
      <w:bookmarkStart w:id="2" w:name="_Toc239347816"/>
      <w:r w:rsidRPr="0096153B">
        <w:rPr>
          <w:rFonts w:ascii="Times New Roman" w:eastAsia="Calibri" w:hAnsi="Times New Roman" w:cs="Times New Roman"/>
          <w:b/>
          <w:bCs/>
          <w:color w:val="2E5395"/>
          <w:sz w:val="24"/>
          <w:szCs w:val="24"/>
        </w:rPr>
        <w:t>2 Pricing-Integrity Audit Method</w:t>
      </w:r>
      <w:bookmarkEnd w:id="2"/>
    </w:p>
    <w:p w14:paraId="45615E51" w14:textId="77777777" w:rsidR="001B439F" w:rsidRPr="0096153B" w:rsidRDefault="001B439F" w:rsidP="001B439F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 xml:space="preserve">Every product with </w:t>
      </w:r>
      <w:proofErr w:type="spellStart"/>
      <w:r w:rsidRPr="0096153B">
        <w:rPr>
          <w:rFonts w:ascii="Times New Roman" w:hAnsi="Times New Roman" w:cs="Times New Roman"/>
        </w:rPr>
        <w:t>Unit_Cost_USD</w:t>
      </w:r>
      <w:proofErr w:type="spellEnd"/>
      <w:r w:rsidRPr="0096153B">
        <w:rPr>
          <w:rFonts w:ascii="Times New Roman" w:hAnsi="Times New Roman" w:cs="Times New Roman"/>
        </w:rPr>
        <w:t xml:space="preserve"> greater than </w:t>
      </w:r>
      <w:proofErr w:type="spellStart"/>
      <w:r w:rsidRPr="0096153B">
        <w:rPr>
          <w:rFonts w:ascii="Times New Roman" w:hAnsi="Times New Roman" w:cs="Times New Roman"/>
        </w:rPr>
        <w:t>Unit_Price_USD</w:t>
      </w:r>
      <w:proofErr w:type="spellEnd"/>
      <w:r w:rsidRPr="0096153B">
        <w:rPr>
          <w:rFonts w:ascii="Times New Roman" w:hAnsi="Times New Roman" w:cs="Times New Roman"/>
        </w:rPr>
        <w:t xml:space="preserve"> was flagged. Two parallel views were then produced for every subsequent calculation — Raw (all transactions as recorded) and Corrected (flagged products excluded) — so the size of the distortion remains visible throughout rather than being silently corrected away.</w:t>
      </w:r>
    </w:p>
    <w:p w14:paraId="436C1B2C" w14:textId="1A131E00" w:rsidR="001B439F" w:rsidRPr="0096153B" w:rsidRDefault="001B439F" w:rsidP="001B439F">
      <w:pPr>
        <w:pStyle w:val="Heading2"/>
        <w:rPr>
          <w:rFonts w:ascii="Times New Roman" w:hAnsi="Times New Roman" w:cs="Times New Roman"/>
        </w:rPr>
      </w:pPr>
      <w:bookmarkStart w:id="3" w:name="_Toc239347817"/>
      <w:r w:rsidRPr="0096153B">
        <w:rPr>
          <w:rFonts w:ascii="Times New Roman" w:eastAsia="Calibri" w:hAnsi="Times New Roman" w:cs="Times New Roman"/>
          <w:b/>
          <w:bCs/>
          <w:color w:val="2E5395"/>
          <w:sz w:val="24"/>
          <w:szCs w:val="24"/>
        </w:rPr>
        <w:t>3 Category Classification Method</w:t>
      </w:r>
      <w:bookmarkEnd w:id="3"/>
    </w:p>
    <w:p w14:paraId="255B4758" w14:textId="77777777" w:rsidR="001B439F" w:rsidRPr="0096153B" w:rsidRDefault="001B439F" w:rsidP="001B439F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Categories were classified as High Priority when margin ≥ 55% and profit contribution ≥ 10%; Review when margin &lt; 55% or profit contribution &lt; 5%; Maintain otherwise. These thresholds are set relative to the portfolio's own corrected blended margin (56.74%) rather than an external benchmark.</w:t>
      </w:r>
    </w:p>
    <w:p w14:paraId="39CCC513" w14:textId="488539DB" w:rsidR="001B439F" w:rsidRPr="0096153B" w:rsidRDefault="001B439F" w:rsidP="001B439F">
      <w:pPr>
        <w:pStyle w:val="Heading2"/>
        <w:rPr>
          <w:rFonts w:ascii="Times New Roman" w:hAnsi="Times New Roman" w:cs="Times New Roman"/>
        </w:rPr>
      </w:pPr>
      <w:bookmarkStart w:id="4" w:name="_Toc239347818"/>
      <w:r w:rsidRPr="0096153B">
        <w:rPr>
          <w:rFonts w:ascii="Times New Roman" w:eastAsia="Calibri" w:hAnsi="Times New Roman" w:cs="Times New Roman"/>
          <w:b/>
          <w:bCs/>
          <w:color w:val="2E5395"/>
          <w:sz w:val="24"/>
          <w:szCs w:val="24"/>
        </w:rPr>
        <w:t>4 Pricing Opportunity Model Method</w:t>
      </w:r>
      <w:bookmarkEnd w:id="4"/>
    </w:p>
    <w:p w14:paraId="7FB13607" w14:textId="77777777" w:rsidR="001B439F" w:rsidRPr="0096153B" w:rsidRDefault="001B439F" w:rsidP="001B439F">
      <w:pPr>
        <w:spacing w:after="160" w:line="276" w:lineRule="auto"/>
        <w:jc w:val="both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Target price for each product was calculated as unit cost ÷ (1 − 0.60), a 60% margin benchmark chosen because it sits just above the highest-performing category's proven achieved margin. Products were then bucketed by a fixed rule set: target price above $1,500 routes to manual review; current margin already ≥ 60% requires no change; units sold below 100 is treated as low-volume and monitored rather than acted on; all other qualifying products are flagged for a price increase.</w:t>
      </w:r>
    </w:p>
    <w:p w14:paraId="4C72995D" w14:textId="14D539F4" w:rsidR="001B439F" w:rsidRPr="0096153B" w:rsidRDefault="001B439F" w:rsidP="001B439F">
      <w:pPr>
        <w:pStyle w:val="Heading2"/>
        <w:rPr>
          <w:rFonts w:ascii="Times New Roman" w:hAnsi="Times New Roman" w:cs="Times New Roman"/>
        </w:rPr>
      </w:pPr>
      <w:bookmarkStart w:id="5" w:name="_Toc239347819"/>
      <w:r w:rsidRPr="0096153B">
        <w:rPr>
          <w:rFonts w:ascii="Times New Roman" w:eastAsia="Calibri" w:hAnsi="Times New Roman" w:cs="Times New Roman"/>
          <w:b/>
          <w:bCs/>
          <w:color w:val="2E5395"/>
          <w:sz w:val="24"/>
          <w:szCs w:val="24"/>
        </w:rPr>
        <w:t>5 Key Assumptions</w:t>
      </w:r>
      <w:bookmarkEnd w:id="5"/>
    </w:p>
    <w:p w14:paraId="63725123" w14:textId="77777777" w:rsidR="001B439F" w:rsidRPr="0096153B" w:rsidRDefault="001B439F" w:rsidP="001B439F">
      <w:pPr>
        <w:pStyle w:val="ListParagraph"/>
        <w:numPr>
          <w:ilvl w:val="0"/>
          <w:numId w:val="1"/>
        </w:numPr>
        <w:spacing w:after="90" w:line="270" w:lineRule="auto"/>
        <w:contextualSpacing w:val="0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Volume is held constant in the pricing model — the estimated $3.31M uplift assumes unit demand is unaffected by the price increase. This is explicitly a modeling assumption to be validated through the A/B test recommended in Section 5, not a guarantee.</w:t>
      </w:r>
    </w:p>
    <w:p w14:paraId="339F8914" w14:textId="77777777" w:rsidR="001B439F" w:rsidRPr="0096153B" w:rsidRDefault="001B439F" w:rsidP="001B439F">
      <w:pPr>
        <w:pStyle w:val="ListParagraph"/>
        <w:numPr>
          <w:ilvl w:val="0"/>
          <w:numId w:val="1"/>
        </w:numPr>
        <w:spacing w:after="90" w:line="270" w:lineRule="auto"/>
        <w:contextualSpacing w:val="0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 xml:space="preserve">The analysis operates at the gross-profit line only; it does not incorporate fixed costs, marketing </w:t>
      </w:r>
      <w:proofErr w:type="gramStart"/>
      <w:r w:rsidRPr="0096153B">
        <w:rPr>
          <w:rFonts w:ascii="Times New Roman" w:hAnsi="Times New Roman" w:cs="Times New Roman"/>
        </w:rPr>
        <w:t>spend</w:t>
      </w:r>
      <w:proofErr w:type="gramEnd"/>
      <w:r w:rsidRPr="0096153B">
        <w:rPr>
          <w:rFonts w:ascii="Times New Roman" w:hAnsi="Times New Roman" w:cs="Times New Roman"/>
        </w:rPr>
        <w:t xml:space="preserve">, fulfillment or logistics cost, or promotional discounting beyond what is captured in </w:t>
      </w:r>
      <w:proofErr w:type="spellStart"/>
      <w:r w:rsidRPr="0096153B">
        <w:rPr>
          <w:rFonts w:ascii="Times New Roman" w:hAnsi="Times New Roman" w:cs="Times New Roman"/>
        </w:rPr>
        <w:t>Unit_Price_USD</w:t>
      </w:r>
      <w:proofErr w:type="spellEnd"/>
      <w:r w:rsidRPr="0096153B">
        <w:rPr>
          <w:rFonts w:ascii="Times New Roman" w:hAnsi="Times New Roman" w:cs="Times New Roman"/>
        </w:rPr>
        <w:t>.</w:t>
      </w:r>
    </w:p>
    <w:p w14:paraId="0A5A842F" w14:textId="77777777" w:rsidR="001B439F" w:rsidRPr="0096153B" w:rsidRDefault="001B439F" w:rsidP="001B439F">
      <w:pPr>
        <w:pStyle w:val="ListParagraph"/>
        <w:numPr>
          <w:ilvl w:val="0"/>
          <w:numId w:val="1"/>
        </w:numPr>
        <w:spacing w:after="90" w:line="270" w:lineRule="auto"/>
        <w:contextualSpacing w:val="0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All figures are cumulative totals across the full transaction history provided; no seasonality or trend decomposition was performed.</w:t>
      </w:r>
    </w:p>
    <w:p w14:paraId="4D8DB03A" w14:textId="77777777" w:rsidR="001B439F" w:rsidRPr="0096153B" w:rsidRDefault="001B439F" w:rsidP="001B439F">
      <w:pPr>
        <w:pStyle w:val="ListParagraph"/>
        <w:numPr>
          <w:ilvl w:val="0"/>
          <w:numId w:val="1"/>
        </w:numPr>
        <w:spacing w:after="90" w:line="270" w:lineRule="auto"/>
        <w:contextualSpacing w:val="0"/>
        <w:rPr>
          <w:rFonts w:ascii="Times New Roman" w:hAnsi="Times New Roman" w:cs="Times New Roman"/>
        </w:rPr>
      </w:pPr>
      <w:r w:rsidRPr="0096153B">
        <w:rPr>
          <w:rFonts w:ascii="Times New Roman" w:hAnsi="Times New Roman" w:cs="Times New Roman"/>
        </w:rPr>
        <w:t>The 144 pricing-integrity-flagged products are excluded from the corrected view rather than repriced, since no authoritative corrected price was available for them; this remains an open action item for the business (Recommendation 1).</w:t>
      </w:r>
    </w:p>
    <w:p w14:paraId="35154BD4" w14:textId="77777777" w:rsidR="00A14492" w:rsidRPr="0096153B" w:rsidRDefault="00A14492">
      <w:pPr>
        <w:rPr>
          <w:rFonts w:ascii="Times New Roman" w:hAnsi="Times New Roman" w:cs="Times New Roman"/>
        </w:rPr>
      </w:pPr>
    </w:p>
    <w:sectPr w:rsidR="00A14492" w:rsidRPr="0096153B" w:rsidSect="001B439F">
      <w:headerReference w:type="default" r:id="rId5"/>
      <w:footerReference w:type="default" r:id="rId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2A11" w14:textId="77777777" w:rsidR="001B439F" w:rsidRDefault="001B439F">
    <w:pPr>
      <w:jc w:val="center"/>
    </w:pPr>
    <w:r>
      <w:rPr>
        <w:color w:val="7F7F7F"/>
        <w:sz w:val="15"/>
        <w:szCs w:val="15"/>
      </w:rPr>
      <w:t xml:space="preserve">Page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of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80E7" w14:textId="77777777" w:rsidR="001B439F" w:rsidRDefault="001B439F">
    <w:pPr>
      <w:pBdr>
        <w:bottom w:val="single" w:sz="4" w:space="4" w:color="B7C6DC"/>
      </w:pBdr>
      <w:jc w:val="right"/>
    </w:pPr>
    <w:r>
      <w:rPr>
        <w:i/>
        <w:iCs/>
        <w:color w:val="7F7F7F"/>
        <w:sz w:val="15"/>
        <w:szCs w:val="15"/>
      </w:rPr>
      <w:t>Retail Profitability &amp; Pricing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15AA4"/>
    <w:multiLevelType w:val="hybridMultilevel"/>
    <w:tmpl w:val="1E3E7D14"/>
    <w:lvl w:ilvl="0" w:tplc="0C90696A">
      <w:start w:val="1"/>
      <w:numFmt w:val="bullet"/>
      <w:lvlText w:val="•"/>
      <w:lvlJc w:val="left"/>
      <w:pPr>
        <w:ind w:left="504" w:hanging="288"/>
      </w:pPr>
    </w:lvl>
    <w:lvl w:ilvl="1" w:tplc="7C4277FC">
      <w:start w:val="1"/>
      <w:numFmt w:val="bullet"/>
      <w:lvlText w:val="–"/>
      <w:lvlJc w:val="left"/>
      <w:pPr>
        <w:ind w:left="1008" w:hanging="288"/>
      </w:pPr>
    </w:lvl>
    <w:lvl w:ilvl="2" w:tplc="65A85B20">
      <w:numFmt w:val="decimal"/>
      <w:lvlText w:val=""/>
      <w:lvlJc w:val="left"/>
    </w:lvl>
    <w:lvl w:ilvl="3" w:tplc="6E7C04FC">
      <w:numFmt w:val="decimal"/>
      <w:lvlText w:val=""/>
      <w:lvlJc w:val="left"/>
    </w:lvl>
    <w:lvl w:ilvl="4" w:tplc="973A1756">
      <w:numFmt w:val="decimal"/>
      <w:lvlText w:val=""/>
      <w:lvlJc w:val="left"/>
    </w:lvl>
    <w:lvl w:ilvl="5" w:tplc="B3A0939A">
      <w:numFmt w:val="decimal"/>
      <w:lvlText w:val=""/>
      <w:lvlJc w:val="left"/>
    </w:lvl>
    <w:lvl w:ilvl="6" w:tplc="0EDA0756">
      <w:numFmt w:val="decimal"/>
      <w:lvlText w:val=""/>
      <w:lvlJc w:val="left"/>
    </w:lvl>
    <w:lvl w:ilvl="7" w:tplc="B5B20D90">
      <w:numFmt w:val="decimal"/>
      <w:lvlText w:val=""/>
      <w:lvlJc w:val="left"/>
    </w:lvl>
    <w:lvl w:ilvl="8" w:tplc="AD648752">
      <w:numFmt w:val="decimal"/>
      <w:lvlText w:val=""/>
      <w:lvlJc w:val="left"/>
    </w:lvl>
  </w:abstractNum>
  <w:num w:numId="1" w16cid:durableId="2106488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ED"/>
    <w:rsid w:val="00020B72"/>
    <w:rsid w:val="000A71ED"/>
    <w:rsid w:val="001B439F"/>
    <w:rsid w:val="00625A30"/>
    <w:rsid w:val="0096153B"/>
    <w:rsid w:val="00A14492"/>
    <w:rsid w:val="00B02557"/>
    <w:rsid w:val="00B716ED"/>
    <w:rsid w:val="00FA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8D01"/>
  <w15:chartTrackingRefBased/>
  <w15:docId w15:val="{2F4EB707-F1EC-464E-8DA7-FFFFA357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39F"/>
    <w:pPr>
      <w:spacing w:after="0" w:line="240" w:lineRule="auto"/>
    </w:pPr>
    <w:rPr>
      <w:rFonts w:ascii="Calibri" w:eastAsia="Calibri" w:hAnsi="Calibri" w:cs="Calibri"/>
      <w:color w:val="40404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E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A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Srivastava</dc:creator>
  <cp:keywords/>
  <dc:description/>
  <cp:lastModifiedBy>Aryaman Srivastava</cp:lastModifiedBy>
  <cp:revision>3</cp:revision>
  <dcterms:created xsi:type="dcterms:W3CDTF">2026-09-03T11:47:00Z</dcterms:created>
  <dcterms:modified xsi:type="dcterms:W3CDTF">2026-09-03T11:48:00Z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68350d7f-e9f3-4a38-bd0f-964fc4f5da8c</vt:lpwstr>
  </property>
</Properties>
</file>