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the Dialogue immediately preceding this extract (conversational context):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“Attorney:  Did you, is that when you went out drinking in South Carolina?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Attorney: Was that the trip that you and he went out drinking?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Andrea Sneiderman: Went out drinking.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Attorney: Did you go to the, do you remember the Pulse restaurant?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Andrea Sneiderman: Say again?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Attorney: The Pulse restaurant.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Andrea Sneiderman: It is a dance club, not a restaurant.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Attorney: Okay.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Attorney: Do you remember going there?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Andrea Sneiderman:  We went to dinner at an actual restaurant, and then afterwards we were walking along, and he said, let's check out this place.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Andrea Sneiderman: I found this place online.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Andrea Sneiderman: It was a place just to have drinks.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Andrea Sneiderman: That was my impression at the time.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Attorney: Okay.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Attorney: Did you go there?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Andrea Sneiderman: Yep.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Attorney: And what did you do there?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Here is the conversation between Andrea Sneiderman and the judge/attorney that you are supposed to analyze for factuality: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Andrea Sneiderman: We had some drinks at the bar, maybe one, two.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Attorney: Did you dance?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Andrea Sneiderman:  I got onto the dance floor myself as I explained.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Andrea Sneiderman: I've been a trained dancer for some time.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Andrea Sneiderman: Going to be able to dance freely is like a release.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Andrea Sneiderman: I'm very much in my own space when I do that.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Andrea Sneiderman: And so I got up and I was dancing alone on the dance floor.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Attorney: Did you dance with the defendant?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Andrea Sneiderman: He came to join the dance floor.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Andrea Sneiderman:  did not join me necessarily on the dance floor initially and he was also dancing and then there was a time where he reached out his hand and as the defense has said twirled me around and that's it.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