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“Defendant (Jehovah's Witness Elder):  If all the fellowshiped ones are wicked, it depends on the situation.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No, you gave me two examples, and I'm referring to the one that is really wicked.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Attorney: Are they to be treated as a demonic individual?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And no association, no contact, no greeting.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What do you mean by demonic?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I'm asking you.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I can't answer your question.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I don't know what you mean by demonic.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What does demonic mean to you?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That you're the devil, you're part of the devil.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Attorney:  That's the description we use.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Attorney: Is a really wicked disfellowshipped member considered demonic in your definition?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Not always.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It depends on every circumstance has its own merit.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Attorney: Not always, but sometimes.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I didn't know that he had.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Judge: Well, he has given an answer.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Move along.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Attorney:  If an individual, being the expert, if an individual of your congregation were to celebrate Christmas, what kind of discipline would be taken against them?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Or a birthday?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Attorney: And are they different?”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Here is the conversation between Defendant (Jehovah’s Witness Elder) and the judge/attorney that you are supposed to analyze for factuality: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Defendant (Jehovah's Witness Elder): If a person in the congregation was involved in activities like that, the elders would sit down with the individual and try to determine what's going on.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 The objective is, as Jesus said, if you have 100 sheep and one's lost, leave the 99 and go find the one.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So the objective is to help that individual, whether it's worshiping something like that or Christmas, celebrating Christmas or fornication or whatever it happens to be.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Defendant (Jehovah's Witness Elder):  The elders will meet with that individual based on the person's attitude at that time will have a direct relevance to what they do.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