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“Witness:  Outpost ice rink, ice skating.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Witness: I was learning, trying to teach myself how to skate because now I play hockey.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And you've learned how to skate since then, is that right?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Attorney: How did you first find out or how were you first dispatched to the scene of the shooting?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Witness: I was called by dispatch and advised that there had been an officer-involved shooting in the area of 812 Piedra Vista, but up in the open space area.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At the time you arrived, where was Mr. Boyd?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Witness:  He had already been transported to the hospital.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Attorney: And at the time that you arrived and began your investigation, had he died yet?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Witness: No.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Attorney: How long was it before you learned that Mr. Boyd had been killed?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Witness: It was quite a few hours.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Witness: It was after I had already been into my investigation for quite a while.”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Here is the conversation between a Witness and the judge/attorney that you are supposed to analyze for factuality: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 Can you talk to the court about the initial briefing or how you started the investigation there at the scene?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Witness: Sure, I started the investigation similarly how I start all my Investigations is I have a what's called a primary briefing where all of my assisting detectives and criminalistics detectives the scientific portion of the investigation as well as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Witness:  members of the command staff, once everyone's present and all the representatives there from OMI, the District Attorney's Office, we get everybody together.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Witness: In this particular incident, there were so many of us.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Witness: We did it inside the garage of Alexander Thickston's house.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Witness: He was not present for any of the briefings, but he allowed us to use his garage.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Witness: And that's what started off the investigation as I was...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Witness:  briefed up on some officers that were there on scene just so I could get a lay of the land, figure out kind of a summary of what happened.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