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Attorney: Officer Howard, </w:t>
      </w:r>
      <w:r w:rsidDel="00000000" w:rsidR="00000000" w:rsidRPr="00000000">
        <w:rPr>
          <w:rtl w:val="0"/>
        </w:rPr>
        <w:t xml:space="preserve">as far as your testimony here today back, are you remembering as best you can the events that happened on March 22nd?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Attorney:  Up to the point that you were shot?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Witness (Officer Howard): Yes, sir, the best I can.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Attorney: And after you were shot... Let me back up, rephrase.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Attorney: You were caught fitting something where you pointed on the left side of your face, is that correct?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Witness (Officer Howard): More right here.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Attorney: Yes.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Attorney: Up high.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Attorney: And that felt like somebody hit you?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Attorney: You felt like you were hit at that point?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Witness (Officer Howard):  Yeah, what a what a feast maybe.”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Here is the conversation between Witness Mr. Howard and the judge/attorney that you are supposed to analyze for factuality: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Attorney: What is the next thing you remember after that?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Witness (Officer Howard): Well, I remember I heard a shot after that.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Witness (Officer Howard): And I remember getting out of the vehicle and throwing a crime.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Witness (Officer Howard):  And that's when they expelled Jerry Jones.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Attorney: I heard him come up.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