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 Mr. Gaskins, you can call your next witness, please.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Judge: Amanda Hayes.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Okay.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Hayes, come around.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Warren.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Put your left hand on the Bible, please.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Raise your right hand.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Judge: Praise the Lord, please.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Judge: Would you state your name, please?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Amanda Hayes:  My name is Amanda Smith-Hayes.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Judge: Amanda, did you kill Laura Ackerson?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Amanda Hayes: No, sir, I did not.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Did you help Grant kill Laura Ackerson?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Amanda Hayes: I absolutely did not.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Were you present when Grant killed Laura Ackerson?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Amanda Hayes: No, sir, I was not.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Judge: Did you know that Laura had died before you got to Texas?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Amanda Hayes: No, sir.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Let me ask you, if you will, let's go back now.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Judge:  Tell the jury, if you will, about your adolescent years.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Amanda Hayes:  I was born in Durango, Colorado.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Amanda Hayes: My mother was a single mother.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Amanda Hayes: I have two older sisters, Karen Berry and Dory Garner.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Amanda Hayes: I have one older brother.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Amanda Hayes: I was quite a bit younger than all of them, so I primarily grew up by myself.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Amanda Hayes: I lived back and forth from Texas and New Mexico until I was about six years old.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Amanda Hayes:  At that point, my mother married my stepfather.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Amanda Hayes: We lived in New Mexico until I was approximately in fifth grade.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Amanda Hayes: And then my father's job ended, and so he had to start traveling.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Amanda Hayes: And my mother and I started traveling with him.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Amanda Hayes: And I grew up in various parts of the United States.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Judge:  Were there various times when you went to live with your sister, Karen Berry?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Amanda Hayes: Yes, sir.”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Amanda Hayes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Would you tell us about that?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Amanda Hayes: Whenever I was little, my oldest nephew is two years younger than I am, and so he and I were always very close.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Amanda Hayes: And so whenever I was really little, I spent a lot of time with her.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Amanda Hayes: And then whenever I was a freshman in high school, I went and lived with her.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