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CA926" w14:textId="77777777" w:rsidR="00B01283" w:rsidRPr="00CB064A" w:rsidRDefault="00000000">
      <w:pPr>
        <w:pStyle w:val="Title"/>
        <w:rPr>
          <w:rFonts w:ascii="Times New Roman" w:hAnsi="Times New Roman" w:cs="Times New Roman"/>
        </w:rPr>
      </w:pPr>
      <w:r w:rsidRPr="00CB064A">
        <w:rPr>
          <w:rFonts w:ascii="Times New Roman" w:hAnsi="Times New Roman" w:cs="Times New Roman"/>
        </w:rPr>
        <w:t>Agentic Generative AI for Clinical Decision Making in Payment Integrity</w:t>
      </w:r>
    </w:p>
    <w:p w14:paraId="6481E46E" w14:textId="77777777" w:rsidR="00B01283" w:rsidRPr="00CB064A" w:rsidRDefault="00000000">
      <w:pPr>
        <w:pStyle w:val="Subtitle"/>
        <w:rPr>
          <w:rFonts w:ascii="Times New Roman" w:hAnsi="Times New Roman" w:cs="Times New Roman"/>
        </w:rPr>
      </w:pPr>
      <w:r w:rsidRPr="00CB064A">
        <w:rPr>
          <w:rFonts w:ascii="Times New Roman" w:hAnsi="Times New Roman" w:cs="Times New Roman"/>
        </w:rPr>
        <w:t xml:space="preserve">Cotiviti Intern Assessment — Option 2 </w:t>
      </w:r>
      <w:proofErr w:type="gramStart"/>
      <w:r w:rsidRPr="00CB064A">
        <w:rPr>
          <w:rFonts w:ascii="Times New Roman" w:hAnsi="Times New Roman" w:cs="Times New Roman"/>
        </w:rPr>
        <w:t>Report  |</w:t>
      </w:r>
      <w:proofErr w:type="gramEnd"/>
      <w:r w:rsidRPr="00CB064A">
        <w:rPr>
          <w:rFonts w:ascii="Times New Roman" w:hAnsi="Times New Roman" w:cs="Times New Roman"/>
        </w:rPr>
        <w:t xml:space="preserve">  Aryan Maheshwari</w:t>
      </w:r>
    </w:p>
    <w:p w14:paraId="662530B1" w14:textId="77777777" w:rsidR="00B01283" w:rsidRPr="00CB064A" w:rsidRDefault="00000000" w:rsidP="00CB064A">
      <w:pPr>
        <w:pStyle w:val="Heading1"/>
        <w:jc w:val="both"/>
        <w:rPr>
          <w:rFonts w:ascii="Times New Roman" w:hAnsi="Times New Roman" w:cs="Times New Roman"/>
        </w:rPr>
      </w:pPr>
      <w:r w:rsidRPr="00CB064A">
        <w:rPr>
          <w:rFonts w:ascii="Times New Roman" w:hAnsi="Times New Roman" w:cs="Times New Roman"/>
        </w:rPr>
        <w:t>Defining the Topic</w:t>
      </w:r>
    </w:p>
    <w:p w14:paraId="3BC9E33F" w14:textId="77777777" w:rsidR="00B01283" w:rsidRPr="00CB064A" w:rsidRDefault="00000000" w:rsidP="00CB064A">
      <w:pPr>
        <w:spacing w:after="160"/>
        <w:jc w:val="both"/>
        <w:rPr>
          <w:rFonts w:ascii="Times New Roman" w:hAnsi="Times New Roman" w:cs="Times New Roman"/>
        </w:rPr>
      </w:pPr>
      <w:r w:rsidRPr="00CB064A">
        <w:rPr>
          <w:rFonts w:ascii="Times New Roman" w:hAnsi="Times New Roman" w:cs="Times New Roman"/>
        </w:rPr>
        <w:t>Agentic generative AI refers to systems composed of multiple coordinated AI components, each handling a discrete subtask, that plan, reason, and act with limited human intervention rather than responding to single prompts (</w:t>
      </w:r>
      <w:proofErr w:type="spellStart"/>
      <w:r w:rsidRPr="00CB064A">
        <w:rPr>
          <w:rFonts w:ascii="Times New Roman" w:hAnsi="Times New Roman" w:cs="Times New Roman"/>
        </w:rPr>
        <w:t>MobiHealthNews</w:t>
      </w:r>
      <w:proofErr w:type="spellEnd"/>
      <w:r w:rsidRPr="00CB064A">
        <w:rPr>
          <w:rFonts w:ascii="Times New Roman" w:hAnsi="Times New Roman" w:cs="Times New Roman"/>
        </w:rPr>
        <w:t>, 2026). In the Treatment, Payment, and Operations (TPO) context of healthcare payer organizations, this looks like agents that classify claims, detect anomalous billing patterns over time, and chain that evidence into a reasoned recommendation — escalate, hold, or route to a human reviewer. This pattern recognition layer sits squarely within payment integrity: the function responsible for catching fraud, waste, and abuse (FWA) before improper payments go out the door.</w:t>
      </w:r>
    </w:p>
    <w:p w14:paraId="4B1FC5C6" w14:textId="77777777" w:rsidR="00B01283" w:rsidRPr="00CB064A" w:rsidRDefault="00000000" w:rsidP="00CB064A">
      <w:pPr>
        <w:pStyle w:val="Heading1"/>
        <w:jc w:val="both"/>
        <w:rPr>
          <w:rFonts w:ascii="Times New Roman" w:hAnsi="Times New Roman" w:cs="Times New Roman"/>
        </w:rPr>
      </w:pPr>
      <w:r w:rsidRPr="00CB064A">
        <w:rPr>
          <w:rFonts w:ascii="Times New Roman" w:hAnsi="Times New Roman" w:cs="Times New Roman"/>
        </w:rPr>
        <w:t>Relevant Trends</w:t>
      </w:r>
    </w:p>
    <w:p w14:paraId="1CF30743" w14:textId="77777777" w:rsidR="00B01283" w:rsidRPr="00CB064A" w:rsidRDefault="00000000" w:rsidP="00CB064A">
      <w:pPr>
        <w:spacing w:after="100"/>
        <w:jc w:val="both"/>
        <w:rPr>
          <w:rFonts w:ascii="Times New Roman" w:hAnsi="Times New Roman" w:cs="Times New Roman"/>
        </w:rPr>
      </w:pPr>
      <w:r w:rsidRPr="00CB064A">
        <w:rPr>
          <w:rFonts w:ascii="Times New Roman" w:hAnsi="Times New Roman" w:cs="Times New Roman"/>
        </w:rPr>
        <w:t>Three trends define this space heading into 2026:</w:t>
      </w:r>
    </w:p>
    <w:p w14:paraId="326A5003" w14:textId="77777777" w:rsidR="00B01283" w:rsidRPr="00CB064A" w:rsidRDefault="00000000" w:rsidP="00CB064A">
      <w:pPr>
        <w:pStyle w:val="ListParagraph"/>
        <w:numPr>
          <w:ilvl w:val="0"/>
          <w:numId w:val="2"/>
        </w:numPr>
        <w:spacing w:after="80"/>
        <w:jc w:val="both"/>
        <w:rPr>
          <w:rFonts w:ascii="Times New Roman" w:hAnsi="Times New Roman" w:cs="Times New Roman"/>
        </w:rPr>
      </w:pPr>
      <w:r w:rsidRPr="00CB064A">
        <w:rPr>
          <w:rFonts w:ascii="Times New Roman" w:hAnsi="Times New Roman" w:cs="Times New Roman"/>
        </w:rPr>
        <w:t>Shift from “pay-and-chase” to pre-payment prevention. AI-enabled pre-payment detection can outperform legacy rules-based claims editing by a wide margin (Launch Consulting, n.d.), and federal regulators are pushing the same shift — HHS and CMS issued a Request for Information in early 2026 on AI methodologies for detecting fraud before claims are paid (HIPAA Journal, 2026).</w:t>
      </w:r>
    </w:p>
    <w:p w14:paraId="338C3F2F" w14:textId="77777777" w:rsidR="00B01283" w:rsidRPr="00CB064A" w:rsidRDefault="00000000" w:rsidP="00CB064A">
      <w:pPr>
        <w:pStyle w:val="ListParagraph"/>
        <w:numPr>
          <w:ilvl w:val="0"/>
          <w:numId w:val="2"/>
        </w:numPr>
        <w:spacing w:after="80"/>
        <w:jc w:val="both"/>
        <w:rPr>
          <w:rFonts w:ascii="Times New Roman" w:hAnsi="Times New Roman" w:cs="Times New Roman"/>
        </w:rPr>
      </w:pPr>
      <w:r w:rsidRPr="00CB064A">
        <w:rPr>
          <w:rFonts w:ascii="Times New Roman" w:hAnsi="Times New Roman" w:cs="Times New Roman"/>
        </w:rPr>
        <w:t>Maturing multi-agent claims architectures. Payers and vendors are moving past single-model fraud scoring toward orchestrated agent pipelines that handle intake, validation, FWA signal detection, and adjudication as a connected journey, escalating only ambiguous cases to humans (</w:t>
      </w:r>
      <w:proofErr w:type="spellStart"/>
      <w:r w:rsidRPr="00CB064A">
        <w:rPr>
          <w:rFonts w:ascii="Times New Roman" w:hAnsi="Times New Roman" w:cs="Times New Roman"/>
        </w:rPr>
        <w:t>MobiHealthNews</w:t>
      </w:r>
      <w:proofErr w:type="spellEnd"/>
      <w:r w:rsidRPr="00CB064A">
        <w:rPr>
          <w:rFonts w:ascii="Times New Roman" w:hAnsi="Times New Roman" w:cs="Times New Roman"/>
        </w:rPr>
        <w:t>, 2026; Accenture Insurance Blog, 2026).</w:t>
      </w:r>
    </w:p>
    <w:p w14:paraId="2660BB7A" w14:textId="77777777" w:rsidR="00B01283" w:rsidRPr="00CB064A" w:rsidRDefault="00000000" w:rsidP="00CB064A">
      <w:pPr>
        <w:pStyle w:val="ListParagraph"/>
        <w:numPr>
          <w:ilvl w:val="0"/>
          <w:numId w:val="2"/>
        </w:numPr>
        <w:spacing w:after="80"/>
        <w:jc w:val="both"/>
        <w:rPr>
          <w:rFonts w:ascii="Times New Roman" w:hAnsi="Times New Roman" w:cs="Times New Roman"/>
        </w:rPr>
      </w:pPr>
      <w:r w:rsidRPr="00CB064A">
        <w:rPr>
          <w:rFonts w:ascii="Times New Roman" w:hAnsi="Times New Roman" w:cs="Times New Roman"/>
        </w:rPr>
        <w:t>Tightening explainability and disclosure requirements. State and federal rules effective in 2026, including Texas’s TRAIGA, now require disclosure when AI informs a clinical or payment decision, and the broader ethics literature treats explainability as a precondition for trustworthy deployment of AI decision-support in healthcare (Akerman LLP, 2026; Freyer et al., 2024).</w:t>
      </w:r>
    </w:p>
    <w:p w14:paraId="68050325" w14:textId="77777777" w:rsidR="00B01283" w:rsidRPr="00CB064A" w:rsidRDefault="00000000" w:rsidP="00CB064A">
      <w:pPr>
        <w:pStyle w:val="Heading1"/>
        <w:jc w:val="both"/>
        <w:rPr>
          <w:rFonts w:ascii="Times New Roman" w:hAnsi="Times New Roman" w:cs="Times New Roman"/>
        </w:rPr>
      </w:pPr>
      <w:r w:rsidRPr="00CB064A">
        <w:rPr>
          <w:rFonts w:ascii="Times New Roman" w:hAnsi="Times New Roman" w:cs="Times New Roman"/>
        </w:rPr>
        <w:t>Opportunities and Threats</w:t>
      </w:r>
    </w:p>
    <w:p w14:paraId="23569BC1" w14:textId="77777777" w:rsidR="00B01283" w:rsidRPr="00CB064A" w:rsidRDefault="00000000" w:rsidP="00CB064A">
      <w:pPr>
        <w:spacing w:after="100"/>
        <w:jc w:val="both"/>
        <w:rPr>
          <w:rFonts w:ascii="Times New Roman" w:hAnsi="Times New Roman" w:cs="Times New Roman"/>
        </w:rPr>
      </w:pPr>
      <w:r w:rsidRPr="00CB064A">
        <w:rPr>
          <w:rFonts w:ascii="Times New Roman" w:hAnsi="Times New Roman" w:cs="Times New Roman"/>
        </w:rPr>
        <w:t>Opportunities: agentic pipelines can absorb the high-volume, rules-governed work of claims triage, freeing investigators to focus on complex or high-dollar cases; vendors report adoption is accelerating, with most U.S. healthcare leaders expecting double-digit cost savings from agentic AI within a few years (WWT, 2026; Deloitte, 2026). Relational fraud schemes — coordinated provider networks that simple rules miss — are increasingly addressable with graph-based and agentic approaches that model claims as interconnected entities rather than independent records (Gupta, 2026).</w:t>
      </w:r>
    </w:p>
    <w:p w14:paraId="4CA1F183" w14:textId="77777777" w:rsidR="00B01283" w:rsidRPr="00CB064A" w:rsidRDefault="00000000" w:rsidP="00CB064A">
      <w:pPr>
        <w:spacing w:after="160"/>
        <w:jc w:val="both"/>
        <w:rPr>
          <w:rFonts w:ascii="Times New Roman" w:hAnsi="Times New Roman" w:cs="Times New Roman"/>
        </w:rPr>
      </w:pPr>
      <w:r w:rsidRPr="00CB064A">
        <w:rPr>
          <w:rFonts w:ascii="Times New Roman" w:hAnsi="Times New Roman" w:cs="Times New Roman"/>
        </w:rPr>
        <w:t>Threats: opacity is the central risk. Deep learning-based flags are hard for investigators or providers to interrogate, and regulators are responding with disclosure and auditability mandates rather than waiting for the technology to self-correct (Akerman LLP, 2026). A second threat is uneven compliance capacity — the burden of monitoring and validating these systems tends to fall on individual organizations, which can widen gaps between well-resourced and under-resourced payers (Mazariego, 2026). Hallucination risk in any generative reasoning layer also means an agent's written rationale must be treated as a recommendation for a human, never as the basis for an autonomous denial.</w:t>
      </w:r>
    </w:p>
    <w:p w14:paraId="7BBB037B" w14:textId="77777777" w:rsidR="00B01283" w:rsidRPr="00CB064A" w:rsidRDefault="00000000" w:rsidP="00CB064A">
      <w:pPr>
        <w:pStyle w:val="Heading1"/>
        <w:jc w:val="both"/>
        <w:rPr>
          <w:rFonts w:ascii="Times New Roman" w:hAnsi="Times New Roman" w:cs="Times New Roman"/>
        </w:rPr>
      </w:pPr>
      <w:r w:rsidRPr="00CB064A">
        <w:rPr>
          <w:rFonts w:ascii="Times New Roman" w:hAnsi="Times New Roman" w:cs="Times New Roman"/>
        </w:rPr>
        <w:t>Recommendations for Cotiviti</w:t>
      </w:r>
    </w:p>
    <w:p w14:paraId="50817E2B" w14:textId="77777777" w:rsidR="00B01283" w:rsidRPr="00CB064A" w:rsidRDefault="00000000" w:rsidP="00CB064A">
      <w:pPr>
        <w:spacing w:after="100"/>
        <w:jc w:val="both"/>
        <w:rPr>
          <w:rFonts w:ascii="Times New Roman" w:hAnsi="Times New Roman" w:cs="Times New Roman"/>
        </w:rPr>
      </w:pPr>
      <w:r w:rsidRPr="00CB064A">
        <w:rPr>
          <w:rFonts w:ascii="Times New Roman" w:hAnsi="Times New Roman" w:cs="Times New Roman"/>
        </w:rPr>
        <w:t>Cotiviti is well positioned to extend its existing payment accuracy and quality measurement capabilities with an agentic layer rather than treating this as a greenfield investment. Two concrete next steps:</w:t>
      </w:r>
    </w:p>
    <w:p w14:paraId="12D21476" w14:textId="77777777" w:rsidR="00B01283" w:rsidRPr="00CB064A" w:rsidRDefault="00000000" w:rsidP="00CB064A">
      <w:pPr>
        <w:pStyle w:val="ListParagraph"/>
        <w:numPr>
          <w:ilvl w:val="0"/>
          <w:numId w:val="2"/>
        </w:numPr>
        <w:spacing w:after="80"/>
        <w:jc w:val="both"/>
        <w:rPr>
          <w:rFonts w:ascii="Times New Roman" w:hAnsi="Times New Roman" w:cs="Times New Roman"/>
        </w:rPr>
      </w:pPr>
      <w:r w:rsidRPr="00CB064A">
        <w:rPr>
          <w:rFonts w:ascii="Times New Roman" w:hAnsi="Times New Roman" w:cs="Times New Roman"/>
        </w:rPr>
        <w:lastRenderedPageBreak/>
        <w:t>Pilot a narrow, auditable multi-agent claims investigation copilot — anomaly detection, classification, and a reasoning agent that drafts (but never finalizes) an investigation recommendation — on a single claim category before any broader rollout, with mandatory human sign-off on every flagged claim.</w:t>
      </w:r>
    </w:p>
    <w:p w14:paraId="2067A85E" w14:textId="77777777" w:rsidR="00B01283" w:rsidRPr="00CB064A" w:rsidRDefault="00000000" w:rsidP="00CB064A">
      <w:pPr>
        <w:pStyle w:val="ListParagraph"/>
        <w:numPr>
          <w:ilvl w:val="0"/>
          <w:numId w:val="2"/>
        </w:numPr>
        <w:spacing w:after="160"/>
        <w:jc w:val="both"/>
        <w:rPr>
          <w:rFonts w:ascii="Times New Roman" w:hAnsi="Times New Roman" w:cs="Times New Roman"/>
        </w:rPr>
      </w:pPr>
      <w:r w:rsidRPr="00CB064A">
        <w:rPr>
          <w:rFonts w:ascii="Times New Roman" w:hAnsi="Times New Roman" w:cs="Times New Roman"/>
        </w:rPr>
        <w:t>Stand up the AI governance practices this pilot will require regardless — decision logging, model versioning, and audit trails — ahead of the disclosure and certification requirements already taking effect across states in 2026. Building governance alongside the first pilot, rather than after, is materially cheaper than retrofitting it later.</w:t>
      </w:r>
    </w:p>
    <w:p w14:paraId="43B2EC26" w14:textId="77777777" w:rsidR="00B01283" w:rsidRPr="00CB064A" w:rsidRDefault="00000000" w:rsidP="00CB064A">
      <w:pPr>
        <w:pStyle w:val="Heading1"/>
        <w:jc w:val="both"/>
        <w:rPr>
          <w:rFonts w:ascii="Times New Roman" w:hAnsi="Times New Roman" w:cs="Times New Roman"/>
        </w:rPr>
      </w:pPr>
      <w:r w:rsidRPr="00CB064A">
        <w:rPr>
          <w:rFonts w:ascii="Times New Roman" w:hAnsi="Times New Roman" w:cs="Times New Roman"/>
        </w:rPr>
        <w:t>Proof-of-Concept Alignment</w:t>
      </w:r>
    </w:p>
    <w:p w14:paraId="421A4B04" w14:textId="77777777" w:rsidR="00B01283" w:rsidRPr="00CB064A" w:rsidRDefault="00000000" w:rsidP="00CB064A">
      <w:pPr>
        <w:spacing w:after="160"/>
        <w:jc w:val="both"/>
        <w:rPr>
          <w:rFonts w:ascii="Times New Roman" w:hAnsi="Times New Roman" w:cs="Times New Roman"/>
        </w:rPr>
      </w:pPr>
      <w:r w:rsidRPr="00CB064A">
        <w:rPr>
          <w:rFonts w:ascii="Times New Roman" w:hAnsi="Times New Roman" w:cs="Times New Roman"/>
        </w:rPr>
        <w:t>The accompanying proof-of-concept demonstrates this exact architecture: an anomaly-detection agent (Isolation Forest) flags claims priced well outside the peer norm for that procedure code or billed multiple times for the same patient on the same day; a classification agent labels the likely category of concern (e.g., duplicate billing, unbundling, upcoding); and a reasoning agent chains both outputs into a written investigation summary and recommendation. The POC intentionally uses synthetic claims data rather than real provider or patient records, which removes any PHI handling question from the demo while still exercising the full reasoning chain end to end. The dashboard also supports submitting a brand-new claim and watching all three agents score it live against the same fitted model, plus asking the reasoning agent free-form follow-up questions about any flagged claim. Critically, the reasoning agent's output is framed throughout as a recommendation for a human investigator, not an autonomous denial — directly reflecting the human-in-the-loop principle recommended above and increasingly required by state disclosure rules such as TRAIGA. The same three-agent pattern shown here could plausibly extend to higher-volume, higher-stakes payment integrity workflows once paired with the governance practices — audit trails, decision logging, and model versioning — described in the recommendations.</w:t>
      </w:r>
    </w:p>
    <w:p w14:paraId="05BCB0CC" w14:textId="77777777" w:rsidR="00B01283" w:rsidRPr="00CB064A" w:rsidRDefault="00000000" w:rsidP="00CB064A">
      <w:pPr>
        <w:jc w:val="both"/>
        <w:rPr>
          <w:rFonts w:ascii="Times New Roman" w:hAnsi="Times New Roman" w:cs="Times New Roman"/>
        </w:rPr>
      </w:pPr>
      <w:r w:rsidRPr="00CB064A">
        <w:rPr>
          <w:rFonts w:ascii="Times New Roman" w:hAnsi="Times New Roman" w:cs="Times New Roman"/>
        </w:rPr>
        <w:br w:type="page"/>
      </w:r>
    </w:p>
    <w:p w14:paraId="32D73B81" w14:textId="77777777" w:rsidR="00B01283" w:rsidRPr="00CB064A" w:rsidRDefault="00000000" w:rsidP="00CB064A">
      <w:pPr>
        <w:pStyle w:val="Heading1"/>
        <w:jc w:val="both"/>
        <w:rPr>
          <w:rFonts w:ascii="Times New Roman" w:hAnsi="Times New Roman" w:cs="Times New Roman"/>
        </w:rPr>
      </w:pPr>
      <w:r w:rsidRPr="00CB064A">
        <w:rPr>
          <w:rFonts w:ascii="Times New Roman" w:hAnsi="Times New Roman" w:cs="Times New Roman"/>
        </w:rPr>
        <w:lastRenderedPageBreak/>
        <w:t>References</w:t>
      </w:r>
    </w:p>
    <w:p w14:paraId="0612A2F3" w14:textId="77777777" w:rsidR="00B01283" w:rsidRPr="00CB064A" w:rsidRDefault="00000000" w:rsidP="00CB064A">
      <w:pPr>
        <w:spacing w:after="140"/>
        <w:ind w:left="360" w:hanging="360"/>
        <w:jc w:val="both"/>
        <w:rPr>
          <w:rFonts w:ascii="Times New Roman" w:hAnsi="Times New Roman" w:cs="Times New Roman"/>
        </w:rPr>
      </w:pPr>
      <w:r w:rsidRPr="00CB064A">
        <w:rPr>
          <w:rFonts w:ascii="Times New Roman" w:hAnsi="Times New Roman" w:cs="Times New Roman"/>
        </w:rPr>
        <w:t>Accenture Insurance Blog. (2026, February 6). Agentic AI is transforming health insurance claims. https://insuranceblog.accenture.com/agentic-ai-transforming-claims-health-insurance</w:t>
      </w:r>
    </w:p>
    <w:p w14:paraId="14020B03" w14:textId="77777777" w:rsidR="00B01283" w:rsidRPr="00CB064A" w:rsidRDefault="00000000" w:rsidP="00CB064A">
      <w:pPr>
        <w:spacing w:after="140"/>
        <w:ind w:left="360" w:hanging="360"/>
        <w:jc w:val="both"/>
        <w:rPr>
          <w:rFonts w:ascii="Times New Roman" w:hAnsi="Times New Roman" w:cs="Times New Roman"/>
        </w:rPr>
      </w:pPr>
      <w:r w:rsidRPr="00CB064A">
        <w:rPr>
          <w:rFonts w:ascii="Times New Roman" w:hAnsi="Times New Roman" w:cs="Times New Roman"/>
        </w:rPr>
        <w:t xml:space="preserve">Akerman LLP. (2026, January 5). </w:t>
      </w:r>
      <w:proofErr w:type="spellStart"/>
      <w:r w:rsidRPr="00CB064A">
        <w:rPr>
          <w:rFonts w:ascii="Times New Roman" w:hAnsi="Times New Roman" w:cs="Times New Roman"/>
        </w:rPr>
        <w:t>HRx</w:t>
      </w:r>
      <w:proofErr w:type="spellEnd"/>
      <w:r w:rsidRPr="00CB064A">
        <w:rPr>
          <w:rFonts w:ascii="Times New Roman" w:hAnsi="Times New Roman" w:cs="Times New Roman"/>
        </w:rPr>
        <w:t>: New year, new AI rules — Healthcare AI laws now in effect. https://www.akerman.com/en/perspectives/hrx-new-year-new-ai-rules-healthcare-ai-laws-now-in-effect.html</w:t>
      </w:r>
    </w:p>
    <w:p w14:paraId="2D6D378D" w14:textId="77777777" w:rsidR="00B01283" w:rsidRPr="00CB064A" w:rsidRDefault="00000000" w:rsidP="00CB064A">
      <w:pPr>
        <w:spacing w:after="140"/>
        <w:ind w:left="360" w:hanging="360"/>
        <w:jc w:val="both"/>
        <w:rPr>
          <w:rFonts w:ascii="Times New Roman" w:hAnsi="Times New Roman" w:cs="Times New Roman"/>
        </w:rPr>
      </w:pPr>
      <w:r w:rsidRPr="00CB064A">
        <w:rPr>
          <w:rFonts w:ascii="Times New Roman" w:hAnsi="Times New Roman" w:cs="Times New Roman"/>
        </w:rPr>
        <w:t>Deloitte. (2026, April 16). Many health care leaders are leaning into agentic AI as adoption hurdles ease. https://www.deloitte.com/us/en/insights/industry/health-care/agentic-ai-health-care-operating-model-change.html</w:t>
      </w:r>
    </w:p>
    <w:p w14:paraId="51F8DE4F" w14:textId="77777777" w:rsidR="00B01283" w:rsidRPr="00CB064A" w:rsidRDefault="00000000" w:rsidP="00CB064A">
      <w:pPr>
        <w:spacing w:after="140"/>
        <w:ind w:left="360" w:hanging="360"/>
        <w:jc w:val="both"/>
        <w:rPr>
          <w:rFonts w:ascii="Times New Roman" w:hAnsi="Times New Roman" w:cs="Times New Roman"/>
        </w:rPr>
      </w:pPr>
      <w:r w:rsidRPr="00CB064A">
        <w:rPr>
          <w:rFonts w:ascii="Times New Roman" w:hAnsi="Times New Roman" w:cs="Times New Roman"/>
        </w:rPr>
        <w:t xml:space="preserve">Freyer, N., </w:t>
      </w:r>
      <w:proofErr w:type="spellStart"/>
      <w:r w:rsidRPr="00CB064A">
        <w:rPr>
          <w:rFonts w:ascii="Times New Roman" w:hAnsi="Times New Roman" w:cs="Times New Roman"/>
        </w:rPr>
        <w:t>Groß</w:t>
      </w:r>
      <w:proofErr w:type="spellEnd"/>
      <w:r w:rsidRPr="00CB064A">
        <w:rPr>
          <w:rFonts w:ascii="Times New Roman" w:hAnsi="Times New Roman" w:cs="Times New Roman"/>
        </w:rPr>
        <w:t xml:space="preserve">, D., &amp; </w:t>
      </w:r>
      <w:proofErr w:type="spellStart"/>
      <w:r w:rsidRPr="00CB064A">
        <w:rPr>
          <w:rFonts w:ascii="Times New Roman" w:hAnsi="Times New Roman" w:cs="Times New Roman"/>
        </w:rPr>
        <w:t>Lipprandt</w:t>
      </w:r>
      <w:proofErr w:type="spellEnd"/>
      <w:r w:rsidRPr="00CB064A">
        <w:rPr>
          <w:rFonts w:ascii="Times New Roman" w:hAnsi="Times New Roman" w:cs="Times New Roman"/>
        </w:rPr>
        <w:t>, M. (2024). The ethical requirement of explainability for AI-DSS in healthcare: A systematic review of reasons. BMC Medical Ethics, 25, Article 104. https://doi.org/10.1186/s12910-024-01103-2</w:t>
      </w:r>
    </w:p>
    <w:p w14:paraId="53755E7B" w14:textId="77777777" w:rsidR="00B01283" w:rsidRPr="00CB064A" w:rsidRDefault="00000000" w:rsidP="00CB064A">
      <w:pPr>
        <w:spacing w:after="140"/>
        <w:ind w:left="360" w:hanging="360"/>
        <w:jc w:val="both"/>
        <w:rPr>
          <w:rFonts w:ascii="Times New Roman" w:hAnsi="Times New Roman" w:cs="Times New Roman"/>
        </w:rPr>
      </w:pPr>
      <w:r w:rsidRPr="00CB064A">
        <w:rPr>
          <w:rFonts w:ascii="Times New Roman" w:hAnsi="Times New Roman" w:cs="Times New Roman"/>
        </w:rPr>
        <w:t>Gupta, A. (2026). AI-driven fraud, waste, and abuse detection in Medicaid claims using graph neural networks. Journal of Advanced Scientific Research, 17(3), 8–21. https://doi.org/10.55218/JASR.2026170302</w:t>
      </w:r>
    </w:p>
    <w:p w14:paraId="58B67018" w14:textId="77777777" w:rsidR="00B01283" w:rsidRPr="00CB064A" w:rsidRDefault="00000000" w:rsidP="00CB064A">
      <w:pPr>
        <w:spacing w:after="140"/>
        <w:ind w:left="360" w:hanging="360"/>
        <w:jc w:val="both"/>
        <w:rPr>
          <w:rFonts w:ascii="Times New Roman" w:hAnsi="Times New Roman" w:cs="Times New Roman"/>
        </w:rPr>
      </w:pPr>
      <w:r w:rsidRPr="00CB064A">
        <w:rPr>
          <w:rFonts w:ascii="Times New Roman" w:hAnsi="Times New Roman" w:cs="Times New Roman"/>
        </w:rPr>
        <w:t>HIPAA Journal. (2026, February 27). HHS issues RFI seeking input on AI tools and methodologies for healthcare fraud prevention. https://www.hipaajournal.com/hhs-rfi-ai-methodologies-healthcare-fraud-prevention/</w:t>
      </w:r>
    </w:p>
    <w:p w14:paraId="69F739A2" w14:textId="77777777" w:rsidR="00B01283" w:rsidRPr="00CB064A" w:rsidRDefault="00000000" w:rsidP="00CB064A">
      <w:pPr>
        <w:spacing w:after="140"/>
        <w:ind w:left="360" w:hanging="360"/>
        <w:jc w:val="both"/>
        <w:rPr>
          <w:rFonts w:ascii="Times New Roman" w:hAnsi="Times New Roman" w:cs="Times New Roman"/>
        </w:rPr>
      </w:pPr>
      <w:r w:rsidRPr="00CB064A">
        <w:rPr>
          <w:rFonts w:ascii="Times New Roman" w:hAnsi="Times New Roman" w:cs="Times New Roman"/>
        </w:rPr>
        <w:t>Launch Consulting. (n.d.). How AI-enabled fraud, waste, and abuse detection can put an end to “pay and chase.” https://www.launchconsulting.com/posts/how-ai-enabled-fraud-waste-and-abuse-detection-can-put-an-end-to-pay-and-chase</w:t>
      </w:r>
    </w:p>
    <w:p w14:paraId="4C6AF1CA" w14:textId="77777777" w:rsidR="00B01283" w:rsidRPr="00CB064A" w:rsidRDefault="00000000" w:rsidP="00CB064A">
      <w:pPr>
        <w:spacing w:after="140"/>
        <w:ind w:left="360" w:hanging="360"/>
        <w:jc w:val="both"/>
        <w:rPr>
          <w:rFonts w:ascii="Times New Roman" w:hAnsi="Times New Roman" w:cs="Times New Roman"/>
        </w:rPr>
      </w:pPr>
      <w:r w:rsidRPr="00CB064A">
        <w:rPr>
          <w:rFonts w:ascii="Times New Roman" w:hAnsi="Times New Roman" w:cs="Times New Roman"/>
        </w:rPr>
        <w:t>Mazariego, J. (2026, February 6). Healthcare AI regulation 2026: New compliance requirements every provider must know. Jimerson Birr. https://www.jimersonfirm.com/blog/2026/02/healthcare-ai-regulation-2025-new-compliance-requirements-every-provider-must-know/</w:t>
      </w:r>
    </w:p>
    <w:p w14:paraId="3DCAA87A" w14:textId="77777777" w:rsidR="00B01283" w:rsidRPr="00CB064A" w:rsidRDefault="00000000" w:rsidP="00CB064A">
      <w:pPr>
        <w:spacing w:after="140"/>
        <w:ind w:left="360" w:hanging="360"/>
        <w:jc w:val="both"/>
        <w:rPr>
          <w:rFonts w:ascii="Times New Roman" w:hAnsi="Times New Roman" w:cs="Times New Roman"/>
        </w:rPr>
      </w:pPr>
      <w:proofErr w:type="spellStart"/>
      <w:r w:rsidRPr="00CB064A">
        <w:rPr>
          <w:rFonts w:ascii="Times New Roman" w:hAnsi="Times New Roman" w:cs="Times New Roman"/>
        </w:rPr>
        <w:t>MobiHealthNews</w:t>
      </w:r>
      <w:proofErr w:type="spellEnd"/>
      <w:r w:rsidRPr="00CB064A">
        <w:rPr>
          <w:rFonts w:ascii="Times New Roman" w:hAnsi="Times New Roman" w:cs="Times New Roman"/>
        </w:rPr>
        <w:t>. (2026, January 5). Creating a blueprint for agentic AI in claims and prior authorization. https://www.mobihealthnews.com/news/creating-blueprint-agentic-ai-claims-and-prior-authorization</w:t>
      </w:r>
    </w:p>
    <w:p w14:paraId="22AE1ED9" w14:textId="77777777" w:rsidR="00B01283" w:rsidRPr="00CB064A" w:rsidRDefault="00000000" w:rsidP="00CB064A">
      <w:pPr>
        <w:spacing w:after="140"/>
        <w:ind w:left="360" w:hanging="360"/>
        <w:jc w:val="both"/>
        <w:rPr>
          <w:rFonts w:ascii="Times New Roman" w:hAnsi="Times New Roman" w:cs="Times New Roman"/>
        </w:rPr>
      </w:pPr>
      <w:r w:rsidRPr="00CB064A">
        <w:rPr>
          <w:rFonts w:ascii="Times New Roman" w:hAnsi="Times New Roman" w:cs="Times New Roman"/>
        </w:rPr>
        <w:t>WWT. (2026, April 14). Top 20 agentic AI use cases for healthcare in 2026. https://www.wwt.com/blog/top-20-agentic-ai-use-cases-for-healthcare-in-2026</w:t>
      </w:r>
    </w:p>
    <w:sectPr w:rsidR="00B01283" w:rsidRPr="00CB064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1C77EE"/>
    <w:multiLevelType w:val="hybridMultilevel"/>
    <w:tmpl w:val="505AE8F4"/>
    <w:lvl w:ilvl="0" w:tplc="9E6E4794">
      <w:start w:val="1"/>
      <w:numFmt w:val="bullet"/>
      <w:lvlText w:val="●"/>
      <w:lvlJc w:val="left"/>
      <w:pPr>
        <w:ind w:left="720" w:hanging="360"/>
      </w:pPr>
    </w:lvl>
    <w:lvl w:ilvl="1" w:tplc="61BCD63E">
      <w:start w:val="1"/>
      <w:numFmt w:val="bullet"/>
      <w:lvlText w:val="○"/>
      <w:lvlJc w:val="left"/>
      <w:pPr>
        <w:ind w:left="1440" w:hanging="360"/>
      </w:pPr>
    </w:lvl>
    <w:lvl w:ilvl="2" w:tplc="C8981A14">
      <w:start w:val="1"/>
      <w:numFmt w:val="bullet"/>
      <w:lvlText w:val="■"/>
      <w:lvlJc w:val="left"/>
      <w:pPr>
        <w:ind w:left="2160" w:hanging="360"/>
      </w:pPr>
    </w:lvl>
    <w:lvl w:ilvl="3" w:tplc="F6B046C6">
      <w:start w:val="1"/>
      <w:numFmt w:val="bullet"/>
      <w:lvlText w:val="●"/>
      <w:lvlJc w:val="left"/>
      <w:pPr>
        <w:ind w:left="2880" w:hanging="360"/>
      </w:pPr>
    </w:lvl>
    <w:lvl w:ilvl="4" w:tplc="7DC46190">
      <w:start w:val="1"/>
      <w:numFmt w:val="bullet"/>
      <w:lvlText w:val="○"/>
      <w:lvlJc w:val="left"/>
      <w:pPr>
        <w:ind w:left="3600" w:hanging="360"/>
      </w:pPr>
    </w:lvl>
    <w:lvl w:ilvl="5" w:tplc="4CB88444">
      <w:start w:val="1"/>
      <w:numFmt w:val="bullet"/>
      <w:lvlText w:val="■"/>
      <w:lvlJc w:val="left"/>
      <w:pPr>
        <w:ind w:left="4320" w:hanging="360"/>
      </w:pPr>
    </w:lvl>
    <w:lvl w:ilvl="6" w:tplc="9C4CB8BA">
      <w:start w:val="1"/>
      <w:numFmt w:val="bullet"/>
      <w:lvlText w:val="●"/>
      <w:lvlJc w:val="left"/>
      <w:pPr>
        <w:ind w:left="5040" w:hanging="360"/>
      </w:pPr>
    </w:lvl>
    <w:lvl w:ilvl="7" w:tplc="3AE82ADE">
      <w:start w:val="1"/>
      <w:numFmt w:val="bullet"/>
      <w:lvlText w:val="●"/>
      <w:lvlJc w:val="left"/>
      <w:pPr>
        <w:ind w:left="5760" w:hanging="360"/>
      </w:pPr>
    </w:lvl>
    <w:lvl w:ilvl="8" w:tplc="E222CD30">
      <w:start w:val="1"/>
      <w:numFmt w:val="bullet"/>
      <w:lvlText w:val="●"/>
      <w:lvlJc w:val="left"/>
      <w:pPr>
        <w:ind w:left="6480" w:hanging="360"/>
      </w:pPr>
    </w:lvl>
  </w:abstractNum>
  <w:abstractNum w:abstractNumId="1" w15:restartNumberingAfterBreak="0">
    <w:nsid w:val="4DE20992"/>
    <w:multiLevelType w:val="hybridMultilevel"/>
    <w:tmpl w:val="B2D4E29A"/>
    <w:lvl w:ilvl="0" w:tplc="C0A055A6">
      <w:start w:val="1"/>
      <w:numFmt w:val="bullet"/>
      <w:lvlText w:val="•"/>
      <w:lvlJc w:val="left"/>
      <w:pPr>
        <w:ind w:left="720" w:hanging="360"/>
      </w:pPr>
    </w:lvl>
    <w:lvl w:ilvl="1" w:tplc="33CA1FE4">
      <w:numFmt w:val="decimal"/>
      <w:lvlText w:val=""/>
      <w:lvlJc w:val="left"/>
    </w:lvl>
    <w:lvl w:ilvl="2" w:tplc="BF6E6948">
      <w:numFmt w:val="decimal"/>
      <w:lvlText w:val=""/>
      <w:lvlJc w:val="left"/>
    </w:lvl>
    <w:lvl w:ilvl="3" w:tplc="52807100">
      <w:numFmt w:val="decimal"/>
      <w:lvlText w:val=""/>
      <w:lvlJc w:val="left"/>
    </w:lvl>
    <w:lvl w:ilvl="4" w:tplc="90382F04">
      <w:numFmt w:val="decimal"/>
      <w:lvlText w:val=""/>
      <w:lvlJc w:val="left"/>
    </w:lvl>
    <w:lvl w:ilvl="5" w:tplc="14149AF4">
      <w:numFmt w:val="decimal"/>
      <w:lvlText w:val=""/>
      <w:lvlJc w:val="left"/>
    </w:lvl>
    <w:lvl w:ilvl="6" w:tplc="23FCF56A">
      <w:numFmt w:val="decimal"/>
      <w:lvlText w:val=""/>
      <w:lvlJc w:val="left"/>
    </w:lvl>
    <w:lvl w:ilvl="7" w:tplc="9C445CAC">
      <w:numFmt w:val="decimal"/>
      <w:lvlText w:val=""/>
      <w:lvlJc w:val="left"/>
    </w:lvl>
    <w:lvl w:ilvl="8" w:tplc="9148E002">
      <w:numFmt w:val="decimal"/>
      <w:lvlText w:val=""/>
      <w:lvlJc w:val="left"/>
    </w:lvl>
  </w:abstractNum>
  <w:num w:numId="1" w16cid:durableId="657147383">
    <w:abstractNumId w:val="0"/>
    <w:lvlOverride w:ilvl="0">
      <w:startOverride w:val="1"/>
    </w:lvlOverride>
  </w:num>
  <w:num w:numId="2" w16cid:durableId="89820353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283"/>
    <w:rsid w:val="006937DB"/>
    <w:rsid w:val="00B01283"/>
    <w:rsid w:val="00CB064A"/>
    <w:rsid w:val="00CD3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3C3074"/>
  <w15:docId w15:val="{AAD1C700-8B64-DA42-AC78-4944C65F5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jc w:val="center"/>
    </w:pPr>
    <w:rPr>
      <w:b/>
      <w:bCs/>
      <w:color w:val="1F3864"/>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240"/>
      <w:jc w:val="center"/>
    </w:pPr>
    <w:rPr>
      <w:i/>
      <w:iCs/>
      <w:color w:val="59595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Maheshwari</cp:lastModifiedBy>
  <cp:revision>2</cp:revision>
  <dcterms:created xsi:type="dcterms:W3CDTF">2026-06-25T20:56:00Z</dcterms:created>
  <dcterms:modified xsi:type="dcterms:W3CDTF">2026-06-26T01:20:00Z</dcterms:modified>
</cp:coreProperties>
</file>