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4"/>
          <w:szCs w:val="44"/>
        </w:rPr>
        <w:t xml:space="preserve">Product Requirements Document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Explainable AI for Diabetic Retinopathy Screening in Rural India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SIH Problem Statement: Explainable AI for Diabetic Retinopathy Screening in Rural India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Document status: Draft v1 — Internal Round prep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Timeline: Internal round — Tuesday  |  External round — ~2 months out</w:t>
      </w:r>
    </w:p>
    <w:p>
      <w:pPr>
        <w:pStyle w:val="Heading1"/>
        <w:spacing w:after="150" w:before="300"/>
      </w:pPr>
      <w:r>
        <w:t xml:space="preserve">1. Background &amp; Problem</w:t>
      </w:r>
    </w:p>
    <w:p>
      <w:pPr>
        <w:spacing w:after="160"/>
      </w:pPr>
      <w:r>
        <w:t xml:space="preserve">India has 77M+ diabetic adults, ~18% of whom develop Diabetic Retinopathy (DR) — a leading cause of preventable blindness. Early screening prevents 90% of vision loss, but rural India has only ~1 ophthalmologist per 100,000 population, making manual mass screening infeasible.</w:t>
      </w:r>
    </w:p>
    <w:p>
      <w:pPr>
        <w:spacing w:after="160"/>
      </w:pPr>
      <w:r>
        <w:t xml:space="preserve">Existing AI screening tools fail in three specific ways: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Black-box outputs — no clinician-interpretable reasoning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Insufficient clinical validation rigor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Fragility on field-quality images from portable fundus cameras</w:t>
      </w:r>
    </w:p>
    <w:p>
      <w:pPr>
        <w:pStyle w:val="Heading1"/>
        <w:spacing w:after="150" w:before="300"/>
      </w:pPr>
      <w:r>
        <w:t xml:space="preserve">2. Goal</w:t>
      </w:r>
    </w:p>
    <w:p>
      <w:pPr>
        <w:spacing w:after="160"/>
      </w:pPr>
      <w:r>
        <w:t xml:space="preserve">Build a MATLAB/Simulink-based DR screening pipeline that is accurate, explainable, robust to field conditions, and operationally deployable at district health-system scale — not just a classifier with high accuracy on clean benchmark images.</w:t>
      </w:r>
    </w:p>
    <w:p>
      <w:pPr>
        <w:pStyle w:val="Heading1"/>
        <w:spacing w:after="150" w:before="300"/>
      </w:pPr>
      <w:r>
        <w:t xml:space="preserve">3. Success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Sensitivity, referable DR (ICDR Level 2+)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&gt; 90%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Specificity, referable DR (ICDR Level 2+)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&gt; 85%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Ophthalmologist validation time per case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&lt; 30 seconds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Explainability output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Grad-CAM correlated with lesion-level evidence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throughput target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100,000+ patients/year at district level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Benchmark comparison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Integrated pipeline outperforms single-technique baseline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50" w:before="300"/>
      </w:pPr>
      <w:r>
        <w:t xml:space="preserve">4.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worker at rural PHC — captures fundus image, receives quality feedback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Ophthalmologist — reviews AI-flagged referable cases via explainability 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District health program planner — uses Simulink simulation output to plan staffing/infra</w:t>
      </w:r>
    </w:p>
    <w:p>
      <w:pPr>
        <w:pStyle w:val="Heading1"/>
        <w:spacing w:after="150" w:before="300"/>
      </w:pPr>
      <w:r>
        <w:t xml:space="preserve">5. Scope</w:t>
      </w:r>
    </w:p>
    <w:p>
      <w:pPr>
        <w:pStyle w:val="Heading2"/>
        <w:spacing w:after="120" w:before="24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MATLAB pipeline: quality gate → segmentation → grading → explainability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Transfer-learning-based 5-class DR severity classifier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Simulink system-level throughput/resource simulation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against public benchmark datasets (IDRiD, APTOS, Messidor)</w:t>
      </w:r>
    </w:p>
    <w:p>
      <w:pPr>
        <w:pStyle w:val="Heading2"/>
        <w:spacing w:after="120" w:before="240"/>
      </w:pPr>
      <w:r>
        <w:t xml:space="preserve">Out of scope (for hackathon timeline — noted explicitly, not hidden)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clinical trial / regulatory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mobile app for health workers (reported as future work)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Complete, independently-validated detectors for all six segmentation targets — prioritized subset (see Module 2)</w:t>
      </w:r>
    </w:p>
    <w:p>
      <w:pPr>
        <w:pStyle w:val="Heading1"/>
        <w:spacing w:after="150" w:before="300"/>
      </w:pPr>
      <w:r>
        <w:t xml:space="preserve">6. Module Requirements</w:t>
      </w:r>
    </w:p>
    <w:p>
      <w:pPr>
        <w:pStyle w:val="Heading2"/>
        <w:spacing w:after="120" w:before="240"/>
      </w:pPr>
      <w:r>
        <w:t xml:space="preserve">Module 1 — Image Quality Assessment &amp; Enhancement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incoming images on focus, illumination, field-of-view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CLAHE, illumination normalization, denoising to borderline images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 ungradeable images with specific, actionable recapture feedback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accept / enhance-and-accept / reject decision + quality report</w:t>
      </w:r>
    </w:p>
    <w:p>
      <w:pPr>
        <w:pStyle w:val="Heading2"/>
        <w:spacing w:after="120" w:before="240"/>
      </w:pPr>
      <w:r>
        <w:t xml:space="preserve">Module 2 — Retinal Structure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Optic disc and fovea localization (full implementation)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Vessel segmentation (full implementation, classical CV)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Microaneurysm detection at near-pixel scale (priority — explicitly demanded by problem statement)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Exudate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Hemorrhage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Neovascularization detection (scoped honestly — heuristic or future-work if time-constrained)</w:t>
      </w:r>
    </w:p>
    <w:p>
      <w:pPr>
        <w:pStyle w:val="Heading2"/>
        <w:spacing w:after="120" w:before="240"/>
      </w:pPr>
      <w:r>
        <w:t xml:space="preserve">Module 3 — DR Severity Grading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5-class ICDR grading (Level 0–4) via transfer-learned CNN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Ensemble of 2–3 transfer-learned backbones (e.g., ResNet50, EfficientNet, DenseNet), combined via averaged/voted predictions, to directly demonstrate the integrated pipeline outperforms any single-technique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Binary referable/non-referable reframe for sensitivity/specificity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Rule-based cross-check using the clinical “4-2-1 rule” (&gt;20 hemorrhages in all 4 quadrants, OR venous beading in 2+ quadrants, OR IRMA in 1+ quadrant → Severe NPDR) applied to Module 2’s lesion counts/locations, to flag disagreement with the CNN’s severity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Evaluated against held-out test split of public datasets</w:t>
      </w:r>
    </w:p>
    <w:p>
      <w:pPr>
        <w:pStyle w:val="Heading2"/>
        <w:spacing w:after="120" w:before="240"/>
      </w:pPr>
      <w:r>
        <w:t xml:space="preserve">Module 4 — Explainability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Grad-CAM attention maps per prediction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Spatial correlation between Grad-CAM output and Module 2 lesion masks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4-2-1 rule agreement/disagreement as a second, clinically-grounded interpretability signal alongside Grad-CAM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Calibrated confidence scores (temperature/Platt scaling)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Auto-generated annotated report per case, reviewable in &lt;30s</w:t>
      </w:r>
    </w:p>
    <w:p>
      <w:pPr>
        <w:pStyle w:val="Heading2"/>
        <w:spacing w:after="120" w:before="240"/>
      </w:pPr>
      <w:r>
        <w:t xml:space="preserve">Module 5 — Simulink Workflow Simulation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patient arrival, quality-gate rejection/recapture loop, AI processing time, multi-doctor review queue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Parameter sweep (staffing levels, bandwidth caps) to find throughput bottlenecks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concrete resource-allocation recommendation for 100,000+ patients/year</w:t>
      </w:r>
    </w:p>
    <w:p>
      <w:pPr>
        <w:pStyle w:val="Heading1"/>
        <w:spacing w:after="150" w:before="300"/>
      </w:pPr>
      <w:r>
        <w:t xml:space="preserve">7. Technical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Processing Toolbox, Computer Vision Toolbox, Deep Learning Toolbox, Medical Imaging Toolbox, Statistics and Machine Learning Toolbox, Simulink (SimEvents if available)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Datasets: IDRiD (priority — Indian population, pixel-level lesion annotations), APTOS 2019, Messidor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Code + MATLAB MCP Core Server for AI-assisted development</w:t>
      </w:r>
    </w:p>
    <w:p>
      <w:pPr>
        <w:pStyle w:val="Heading1"/>
        <w:spacing w:after="150" w:before="300"/>
      </w:pPr>
      <w:r>
        <w:t xml:space="preserve">8.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Solution deck + PRD finalized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Before Tuesday internal round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Module 1 (quality gate) working prototype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Module 2 (segmentation, priority subset) working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Module 3 (classifier) trained + evaluated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Week 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Module 4 (explainability) integrated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Week 7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Module 5 (Simulink simulation) complete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Week 7–8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End-to-end demo + benchmark comparison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Before external round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50" w:before="300"/>
      </w:pPr>
      <w:r>
        <w:t xml:space="preserve">9. Risks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Six-target segmentation too broad for timeline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Prioritize optic disc, vessels, microaneurysms; scope rest down honestly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GPU-limited training time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Transfer learning with frozen layers; reduced resolution/epochs if needed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Simulink .slx merge conflicts across team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Single owner for model file; avoid concurrent edits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Live demo failure at venue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Maintain a recorded backup demo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50" w:before="300"/>
      </w:pPr>
      <w:r>
        <w:t xml:space="preserve">10. Frontend Integration &amp; API Contract</w:t>
      </w:r>
    </w:p>
    <w:p>
      <w:pPr>
        <w:spacing w:after="160"/>
      </w:pPr>
      <w:r>
        <w:t xml:space="preserve">The frontend is a separate React/HTML web app built by another team member. MATLAB does not serve web requests directly, so a thin bridge service sits between the two.</w:t>
      </w:r>
    </w:p>
    <w:p>
      <w:pPr>
        <w:pStyle w:val="Heading2"/>
        <w:spacing w:after="120" w:before="240"/>
      </w:pPr>
      <w:r>
        <w:t xml:space="preserve">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frontend — image upload, displays results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Bridge server (Node.js/Express) — receives the uploaded image, invokes the MATLAB pipeline (via matlab -batch running a wrapper script), waits for completion, returns results as 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MATLAB pipeline — runs headless, writes outputs (enhanced image, segmentation overlays, Grad-CAM heatmap, severity grade, report) to files, which the bridge server serves</w:t>
      </w:r>
    </w:p>
    <w:p>
      <w:pPr>
        <w:pStyle w:val="Heading2"/>
        <w:spacing w:after="120" w:before="240"/>
      </w:pPr>
      <w:r>
        <w:t xml:space="preserve">Fixed JSON response contract</w:t>
      </w:r>
    </w:p>
    <w:p>
      <w:pPr>
        <w:spacing w:after="160"/>
      </w:pPr>
      <w:r>
        <w:t xml:space="preserve">This contract is fixed early so the frontend can be built against mock data while the pipeline is still in progress, and the two sides integrate cleanly near the end.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"quality_check":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"status": "accepted | enhanced | rejected",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"reason": "string or null",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"scores": { "focus": 0.0, "illumination": 0.0, "fov": 0.0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"severity":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"icdr_level": 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"referable": true,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"confidence": 0.0,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"ensemble_agreement": true,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"rule_based_grade":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"lesions":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"microaneurysms": 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"hemorrhages": 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"exudates": 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"neovascularization":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"images":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"enhanced_url": "...",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"segmentation_overlay_url": "...",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"gradcam_url": "..."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"report_url": "..."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50" w:before="300"/>
      </w:pPr>
      <w:r>
        <w:t xml:space="preserve">11. Team &amp; Ownership</w:t>
      </w:r>
    </w:p>
    <w:p>
      <w:pPr>
        <w:spacing w:after="160"/>
      </w:pPr>
      <w:r>
        <w:rPr>
          <w:i/>
          <w:iCs/>
        </w:rPr>
        <w:t xml:space="preserve">(to be filled in once roles are assigned)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2026-08-25T18:56:15.795Z</dcterms:created>
  <dcterms:modified xsi:type="dcterms:W3CDTF">2026-08-25T18:56:15.795Z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