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56"/>
          <w:szCs w:val="56"/>
        </w:rPr>
        <w:t xml:space="preserve">Implementation Plan</w:t>
      </w:r>
    </w:p>
    <w:p>
      <w:pPr>
        <w:spacing w:after="400"/>
      </w:pPr>
      <w:r>
        <w:rPr>
          <w:color w:val="2E75B6"/>
          <w:sz w:val="26"/>
          <w:szCs w:val="26"/>
        </w:rPr>
        <w:t xml:space="preserve">Business Transformation AI (AI Solution Builder) — Futurrizon Technologies Pvt. Ltd.</w:t>
      </w:r>
    </w:p>
    <w:p>
      <w:pPr>
        <w:pStyle w:val="Heading1"/>
        <w:spacing w:after="150" w:before="300"/>
      </w:pPr>
      <w:r>
        <w:t xml:space="preserve">1. Purpose &amp; Approach</w:t>
      </w:r>
    </w:p>
    <w:p>
      <w:pPr>
        <w:spacing w:after="120"/>
      </w:pPr>
      <w:r>
        <w:t xml:space="preserve">This plan translates the Business Transformation AI product specification into a phased, buildable roadmap. The platform is large — nine functional engines, web + mobile clients, and enterprise-grade admin/security requirements — so the approach below sequences delivery around a thin end-to-end slice first (Discovery → AI recommendation → basic export), then layers depth (architecture, wireframes, planning, collaboration) module by module. This lets a demoable MVP ship early while the harder AI-orchestration and document-generation work continues in parallel tracks.</w:t>
      </w:r>
    </w:p>
    <w:p>
      <w:pPr>
        <w:pStyle w:val="Heading1"/>
        <w:spacing w:after="150" w:before="300"/>
      </w:pPr>
      <w:r>
        <w:t xml:space="preserve">2. Guiding Principles</w:t>
      </w:r>
    </w:p>
    <w:p>
      <w:pPr>
        <w:pStyle w:val="ListParagraph"/>
        <w:numPr>
          <w:ilvl w:val="0"/>
          <w:numId w:val="2"/>
        </w:numPr>
        <w:spacing w:after="60"/>
      </w:pPr>
      <w:r>
        <w:t xml:space="preserve">Vertical slice first: get one idea → one solution blueprint working end-to-end before broadening breadth.</w:t>
      </w:r>
    </w:p>
    <w:p>
      <w:pPr>
        <w:pStyle w:val="ListParagraph"/>
        <w:numPr>
          <w:ilvl w:val="0"/>
          <w:numId w:val="2"/>
        </w:numPr>
        <w:spacing w:after="60"/>
      </w:pPr>
      <w:r>
        <w:t xml:space="preserve">AI orchestration as a service layer: keep the LLM/agent logic behind an internal API so web, Android, iOS and tablet clients share one brain.</w:t>
      </w:r>
    </w:p>
    <w:p>
      <w:pPr>
        <w:pStyle w:val="ListParagraph"/>
        <w:numPr>
          <w:ilvl w:val="0"/>
          <w:numId w:val="2"/>
        </w:numPr>
        <w:spacing w:after="60"/>
      </w:pPr>
      <w:r>
        <w:t xml:space="preserve">Documents and diagrams are generated artifacts, not hand-built screens — invest early in a templating/rendering pipeline (BPMN, wireframes, ER diagrams, PDF/Word/Excel/PPT export).</w:t>
      </w:r>
    </w:p>
    <w:p>
      <w:pPr>
        <w:pStyle w:val="ListParagraph"/>
        <w:numPr>
          <w:ilvl w:val="0"/>
          <w:numId w:val="2"/>
        </w:numPr>
        <w:spacing w:after="60"/>
      </w:pPr>
      <w:r>
        <w:t xml:space="preserve">Security and multi-tenancy are foundational, not bolted on — RBAC, encryption and tenant isolation are built into the data model from Phase 0.</w:t>
      </w:r>
    </w:p>
    <w:p>
      <w:pPr>
        <w:pStyle w:val="ListParagraph"/>
        <w:numPr>
          <w:ilvl w:val="0"/>
          <w:numId w:val="2"/>
        </w:numPr>
        <w:spacing w:after="60"/>
      </w:pPr>
      <w:r>
        <w:t xml:space="preserve">Everything AI outputs is versioned, editable and regenerable — treat every recommendation as a mutable object with history, not a one-shot response.</w:t>
      </w:r>
    </w:p>
    <w:p>
      <w:pPr>
        <w:pStyle w:val="Heading1"/>
        <w:spacing w:after="150" w:before="300"/>
      </w:pPr>
      <w:r>
        <w:t xml:space="preserve">3. Phased Roadmap</w:t>
      </w:r>
    </w:p>
    <w:p>
      <w:pPr>
        <w:pStyle w:val="Heading2"/>
        <w:spacing w:after="120" w:before="250"/>
      </w:pPr>
      <w:r>
        <w:t xml:space="preserve">Phase 0 — Foundation &amp; Architecture (Weeks 1–4)</w:t>
      </w:r>
    </w:p>
    <w:p>
      <w:pPr>
        <w:spacing w:after="120"/>
      </w:pPr>
      <w:r>
        <w:t xml:space="preserve">Objective: stand up the technical backbone so every later phase builds on stable ground.</w:t>
      </w:r>
    </w:p>
    <w:p>
      <w:pPr>
        <w:pStyle w:val="ListParagraph"/>
        <w:numPr>
          <w:ilvl w:val="0"/>
          <w:numId w:val="2"/>
        </w:numPr>
        <w:spacing w:after="60"/>
      </w:pPr>
      <w:r>
        <w:t xml:space="preserve">Define cloud-native architecture: multi-tenant data model, API-first backend, auth (SSO/OAuth), RBAC design.</w:t>
      </w:r>
    </w:p>
    <w:p>
      <w:pPr>
        <w:pStyle w:val="ListParagraph"/>
        <w:numPr>
          <w:ilvl w:val="0"/>
          <w:numId w:val="2"/>
        </w:numPr>
        <w:spacing w:after="60"/>
      </w:pPr>
      <w:r>
        <w:t xml:space="preserve">Select AI stack: LLM provider(s), retrieval/embedding store for organizational context, prompt/agent orchestration framework.</w:t>
      </w:r>
    </w:p>
    <w:p>
      <w:pPr>
        <w:pStyle w:val="ListParagraph"/>
        <w:numPr>
          <w:ilvl w:val="0"/>
          <w:numId w:val="2"/>
        </w:numPr>
        <w:spacing w:after="60"/>
      </w:pPr>
      <w:r>
        <w:t xml:space="preserve">Set up workspace/organization/project data model (tenants, users, roles, permissions).</w:t>
      </w:r>
    </w:p>
    <w:p>
      <w:pPr>
        <w:pStyle w:val="ListParagraph"/>
        <w:numPr>
          <w:ilvl w:val="0"/>
          <w:numId w:val="2"/>
        </w:numPr>
        <w:spacing w:after="60"/>
      </w:pPr>
      <w:r>
        <w:t xml:space="preserve">Establish CI/CD, environments (dev/staging/prod), observability (logging, audit trail, usage analytics).</w:t>
      </w:r>
    </w:p>
    <w:p>
      <w:pPr>
        <w:pStyle w:val="ListParagraph"/>
        <w:numPr>
          <w:ilvl w:val="0"/>
          <w:numId w:val="2"/>
        </w:numPr>
        <w:spacing w:after="60"/>
      </w:pPr>
      <w:r>
        <w:t xml:space="preserve">Security baseline: encryption at rest/in transit, secrets management, backup &amp; DR strategy.</w:t>
      </w:r>
    </w:p>
    <w:p>
      <w:pPr>
        <w:spacing w:after="120"/>
      </w:pPr>
      <w:r>
        <w:t xml:space="preserve">Deliverable: a deployable skeleton — auth, workspace creation, empty dashboards on web — with the AI service reachable via an internal API.</w:t>
      </w:r>
    </w:p>
    <w:p>
      <w:pPr>
        <w:pStyle w:val="Heading2"/>
        <w:spacing w:after="120" w:before="250"/>
      </w:pPr>
      <w:r>
        <w:t xml:space="preserve">Phase 1 — AI Discovery Core (Weeks 5–10)</w:t>
      </w:r>
    </w:p>
    <w:p>
      <w:pPr>
        <w:spacing w:after="120"/>
      </w:pPr>
      <w:r>
        <w:t xml:space="preserve">Objective: deliver the thin vertical slice — a user can describe a business problem and get a first AI-generated recommendation.</w:t>
      </w:r>
    </w:p>
    <w:p>
      <w:pPr>
        <w:pStyle w:val="ListParagraph"/>
        <w:numPr>
          <w:ilvl w:val="0"/>
          <w:numId w:val="2"/>
        </w:numPr>
        <w:spacing w:after="60"/>
      </w:pPr>
      <w:r>
        <w:t xml:space="preserve">AI Transformation Companion: conversational intake flow, context capture, session memory.</w:t>
      </w:r>
    </w:p>
    <w:p>
      <w:pPr>
        <w:pStyle w:val="ListParagraph"/>
        <w:numPr>
          <w:ilvl w:val="0"/>
          <w:numId w:val="2"/>
        </w:numPr>
        <w:spacing w:after="60"/>
      </w:pPr>
      <w:r>
        <w:t xml:space="preserve">Business Document Upload: ingestion pipeline for PDFs, PPTs, Word docs, SOPs, BRDs (parsing, chunking, embedding).</w:t>
      </w:r>
    </w:p>
    <w:p>
      <w:pPr>
        <w:pStyle w:val="ListParagraph"/>
        <w:numPr>
          <w:ilvl w:val="0"/>
          <w:numId w:val="2"/>
        </w:numPr>
        <w:spacing w:after="60"/>
      </w:pPr>
      <w:r>
        <w:t xml:space="preserve">Business Analysis Engine (v1): requirement discovery and gap analysis from conversation + documents.</w:t>
      </w:r>
    </w:p>
    <w:p>
      <w:pPr>
        <w:pStyle w:val="ListParagraph"/>
        <w:numPr>
          <w:ilvl w:val="0"/>
          <w:numId w:val="2"/>
        </w:numPr>
        <w:spacing w:after="60"/>
      </w:pPr>
      <w:r>
        <w:t xml:space="preserve">AI Business Consultant (v1): idea validation, discovery questions, best-practice recommendations.</w:t>
      </w:r>
    </w:p>
    <w:p>
      <w:pPr>
        <w:pStyle w:val="ListParagraph"/>
        <w:numPr>
          <w:ilvl w:val="0"/>
          <w:numId w:val="2"/>
        </w:numPr>
        <w:spacing w:after="60"/>
      </w:pPr>
      <w:r>
        <w:t xml:space="preserve">Basic AI Chat Assistant UI on web.</w:t>
      </w:r>
    </w:p>
    <w:p>
      <w:pPr>
        <w:spacing w:after="120"/>
      </w:pPr>
      <w:r>
        <w:t xml:space="preserve">Deliverable: end-to-end flow — upload/describe → AI asks discovery questions → structured recommendation summary is produced and stored.</w:t>
      </w:r>
    </w:p>
    <w:p>
      <w:pPr>
        <w:pStyle w:val="Heading2"/>
        <w:spacing w:after="120" w:before="250"/>
      </w:pPr>
      <w:r>
        <w:t xml:space="preserve">Phase 2 — Solution Design Engines (Weeks 11–18)</w:t>
      </w:r>
    </w:p>
    <w:p>
      <w:pPr>
        <w:spacing w:after="120"/>
      </w:pPr>
      <w:r>
        <w:t xml:space="preserve">Objective: turn recommendations into concrete technical artifacts.</w:t>
      </w:r>
    </w:p>
    <w:p>
      <w:pPr>
        <w:pStyle w:val="ListParagraph"/>
        <w:numPr>
          <w:ilvl w:val="0"/>
          <w:numId w:val="2"/>
        </w:numPr>
        <w:spacing w:after="60"/>
      </w:pPr>
      <w:r>
        <w:t xml:space="preserve">AI Solution Builder: technology stack, automation opportunity, and implementation-approach recommendations.</w:t>
      </w:r>
    </w:p>
    <w:p>
      <w:pPr>
        <w:pStyle w:val="ListParagraph"/>
        <w:numPr>
          <w:ilvl w:val="0"/>
          <w:numId w:val="2"/>
        </w:numPr>
        <w:spacing w:after="60"/>
      </w:pPr>
      <w:r>
        <w:t xml:space="preserve">Solution Architecture Builder: HLD/LLD generation, integration, infrastructure, security and deployment architecture.</w:t>
      </w:r>
    </w:p>
    <w:p>
      <w:pPr>
        <w:pStyle w:val="ListParagraph"/>
        <w:numPr>
          <w:ilvl w:val="0"/>
          <w:numId w:val="2"/>
        </w:numPr>
        <w:spacing w:after="60"/>
      </w:pPr>
      <w:r>
        <w:t xml:space="preserve">Process Intelligence Designer: workflow, BPMN, swimlane, decision-tree generation.</w:t>
      </w:r>
    </w:p>
    <w:p>
      <w:pPr>
        <w:pStyle w:val="ListParagraph"/>
        <w:numPr>
          <w:ilvl w:val="0"/>
          <w:numId w:val="2"/>
        </w:numPr>
        <w:spacing w:after="60"/>
      </w:pPr>
      <w:r>
        <w:t xml:space="preserve">Database &amp; Integration Designer: ER diagrams, schema, REST API and data-flow generation.</w:t>
      </w:r>
    </w:p>
    <w:p>
      <w:pPr>
        <w:pStyle w:val="ListParagraph"/>
        <w:numPr>
          <w:ilvl w:val="0"/>
          <w:numId w:val="2"/>
        </w:numPr>
        <w:spacing w:after="60"/>
      </w:pPr>
      <w:r>
        <w:t xml:space="preserve">AI UX Designer: wireframes, dashboard concepts, navigation flows.</w:t>
      </w:r>
    </w:p>
    <w:p>
      <w:pPr>
        <w:spacing w:after="120"/>
      </w:pPr>
      <w:r>
        <w:t xml:space="preserve">Deliverable: a full solution blueprint (architecture + workflows + wireframes + data model) generated from a single business input.</w:t>
      </w:r>
    </w:p>
    <w:p>
      <w:pPr>
        <w:pStyle w:val="Heading2"/>
        <w:spacing w:after="120" w:before="250"/>
      </w:pPr>
      <w:r>
        <w:t xml:space="preserve">Phase 3 — Planning, Roadmaps &amp; Dashboards (Weeks 19–24)</w:t>
      </w:r>
    </w:p>
    <w:p>
      <w:pPr>
        <w:pStyle w:val="ListParagraph"/>
        <w:numPr>
          <w:ilvl w:val="0"/>
          <w:numId w:val="2"/>
        </w:numPr>
        <w:spacing w:after="60"/>
      </w:pPr>
      <w:r>
        <w:t xml:space="preserve">Transformation Planner: AI adoption, cloud migration, modernization and change-management roadmaps.</w:t>
      </w:r>
    </w:p>
    <w:p>
      <w:pPr>
        <w:pStyle w:val="ListParagraph"/>
        <w:numPr>
          <w:ilvl w:val="0"/>
          <w:numId w:val="2"/>
        </w:numPr>
        <w:spacing w:after="60"/>
      </w:pPr>
      <w:r>
        <w:t xml:space="preserve">AI Planning Engine: effort/cost estimation, resource planning, sprint &amp; release planning, risk prediction.</w:t>
      </w:r>
    </w:p>
    <w:p>
      <w:pPr>
        <w:pStyle w:val="ListParagraph"/>
        <w:numPr>
          <w:ilvl w:val="0"/>
          <w:numId w:val="2"/>
        </w:numPr>
        <w:spacing w:after="60"/>
      </w:pPr>
      <w:r>
        <w:t xml:space="preserve">Transformation Dashboard: digital maturity, AI readiness, project health, implementation readiness tracking.</w:t>
      </w:r>
    </w:p>
    <w:p>
      <w:pPr>
        <w:spacing w:after="120"/>
      </w:pPr>
      <w:r>
        <w:t xml:space="preserve">Deliverable: solution blueprints now include timelines, cost estimates and a maturity/readiness dashboard view.</w:t>
      </w:r>
    </w:p>
    <w:p>
      <w:pPr>
        <w:pStyle w:val="Heading2"/>
        <w:spacing w:after="120" w:before="250"/>
      </w:pPr>
      <w:r>
        <w:t xml:space="preserve">Phase 4 — Collaboration, Export &amp; Enterprise Admin (Weeks 25–30)</w:t>
      </w:r>
    </w:p>
    <w:p>
      <w:pPr>
        <w:pStyle w:val="ListParagraph"/>
        <w:numPr>
          <w:ilvl w:val="0"/>
          <w:numId w:val="2"/>
        </w:numPr>
        <w:spacing w:after="60"/>
      </w:pPr>
      <w:r>
        <w:t xml:space="preserve">Team collaboration: comments, approvals, version history, notifications/activity logs.</w:t>
      </w:r>
    </w:p>
    <w:p>
      <w:pPr>
        <w:pStyle w:val="ListParagraph"/>
        <w:numPr>
          <w:ilvl w:val="0"/>
          <w:numId w:val="2"/>
        </w:numPr>
        <w:spacing w:after="60"/>
      </w:pPr>
      <w:r>
        <w:t xml:space="preserve">Export pipeline: PDF, Word, Excel and PPT generation for all artifacts (blueprints, architecture docs, roadmaps).</w:t>
      </w:r>
    </w:p>
    <w:p>
      <w:pPr>
        <w:pStyle w:val="ListParagraph"/>
        <w:numPr>
          <w:ilvl w:val="0"/>
          <w:numId w:val="2"/>
        </w:numPr>
        <w:spacing w:after="60"/>
      </w:pPr>
      <w:r>
        <w:t xml:space="preserve">Enterprise API integrations for third-party systems.</w:t>
      </w:r>
    </w:p>
    <w:p>
      <w:pPr>
        <w:pStyle w:val="ListParagraph"/>
        <w:numPr>
          <w:ilvl w:val="0"/>
          <w:numId w:val="2"/>
        </w:numPr>
        <w:spacing w:after="60"/>
      </w:pPr>
      <w:r>
        <w:t xml:space="preserve">Admin dashboard: user/org/workspace/project management, AI model and permission governance, security policy management, usage analytics, audit logs, platform monitoring.</w:t>
      </w:r>
    </w:p>
    <w:p>
      <w:pPr>
        <w:spacing w:after="120"/>
      </w:pPr>
      <w:r>
        <w:t xml:space="preserve">Deliverable: enterprise-ready collaboration and administration layer; artifacts are exportable in all required formats.</w:t>
      </w:r>
    </w:p>
    <w:p>
      <w:pPr>
        <w:pStyle w:val="Heading2"/>
        <w:spacing w:after="120" w:before="250"/>
      </w:pPr>
      <w:r>
        <w:t xml:space="preserve">Phase 5 — Mobile, Multilingual &amp; Hardening (Weeks 31–36)</w:t>
      </w:r>
    </w:p>
    <w:p>
      <w:pPr>
        <w:pStyle w:val="ListParagraph"/>
        <w:numPr>
          <w:ilvl w:val="0"/>
          <w:numId w:val="2"/>
        </w:numPr>
        <w:spacing w:after="60"/>
      </w:pPr>
      <w:r>
        <w:t xml:space="preserve">Android, iOS and tablet clients (shared design system, feature parity with core web flows).</w:t>
      </w:r>
    </w:p>
    <w:p>
      <w:pPr>
        <w:pStyle w:val="ListParagraph"/>
        <w:numPr>
          <w:ilvl w:val="0"/>
          <w:numId w:val="2"/>
        </w:numPr>
        <w:spacing w:after="60"/>
      </w:pPr>
      <w:r>
        <w:t xml:space="preserve">Multilingual support across all major languages (i18n framework, translated UI + AI responses).</w:t>
      </w:r>
    </w:p>
    <w:p>
      <w:pPr>
        <w:pStyle w:val="ListParagraph"/>
        <w:numPr>
          <w:ilvl w:val="0"/>
          <w:numId w:val="2"/>
        </w:numPr>
        <w:spacing w:after="60"/>
      </w:pPr>
      <w:r>
        <w:t xml:space="preserve">Performance tuning for fast AI processing at scale, load testing, and security/compliance audit.</w:t>
      </w:r>
    </w:p>
    <w:p>
      <w:pPr>
        <w:pStyle w:val="ListParagraph"/>
        <w:numPr>
          <w:ilvl w:val="0"/>
          <w:numId w:val="2"/>
        </w:numPr>
        <w:spacing w:after="60"/>
      </w:pPr>
      <w:r>
        <w:t xml:space="preserve">UAT with pilot customers (mix of enterprise, consultants, business analysts) and feedback-driven refinement.</w:t>
      </w:r>
    </w:p>
    <w:p>
      <w:pPr>
        <w:spacing w:after="120"/>
      </w:pPr>
      <w:r>
        <w:t xml:space="preserve">Deliverable: production-ready multi-platform release candidate.</w:t>
      </w:r>
    </w:p>
    <w:p>
      <w:pPr>
        <w:pStyle w:val="Heading2"/>
        <w:spacing w:after="120" w:before="250"/>
      </w:pPr>
      <w:r>
        <w:t xml:space="preserve">Phase 6 — Launch &amp; Continuous Optimization (Ongoing, from Week 37)</w:t>
      </w:r>
    </w:p>
    <w:p>
      <w:pPr>
        <w:pStyle w:val="ListParagraph"/>
        <w:numPr>
          <w:ilvl w:val="0"/>
          <w:numId w:val="2"/>
        </w:numPr>
        <w:spacing w:after="60"/>
      </w:pPr>
      <w:r>
        <w:t xml:space="preserve">Phased rollout: pilot tenants → general availability.</w:t>
      </w:r>
    </w:p>
    <w:p>
      <w:pPr>
        <w:pStyle w:val="ListParagraph"/>
        <w:numPr>
          <w:ilvl w:val="0"/>
          <w:numId w:val="2"/>
        </w:numPr>
        <w:spacing w:after="60"/>
      </w:pPr>
      <w:r>
        <w:t xml:space="preserve">Continuous learning loop: AI recommendations improve from user feedback, industry knowledge and past transformation patterns.</w:t>
      </w:r>
    </w:p>
    <w:p>
      <w:pPr>
        <w:pStyle w:val="ListParagraph"/>
        <w:numPr>
          <w:ilvl w:val="0"/>
          <w:numId w:val="2"/>
        </w:numPr>
        <w:spacing w:after="60"/>
      </w:pPr>
      <w:r>
        <w:t xml:space="preserve">Ongoing roadmap: new USPs, differentiators and automation opportunities identified post-launch, per the spec's open invitation for additional value propositions.</w:t>
      </w:r>
    </w:p>
    <w:p>
      <w:pPr>
        <w:pStyle w:val="Heading1"/>
        <w:spacing w:after="150" w:before="300"/>
      </w:pPr>
      <w:r>
        <w:t xml:space="preserve">4. Phase-to-Module Traceability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E75B6" w:val="clear"/>
            <w:tcMar>
              <w:top w:type="dxa" w:w="80"/>
              <w:left w:type="dxa" w:w="100"/>
              <w:bottom w:type="dxa" w:w="80"/>
              <w:right w:type="dxa" w:w="100"/>
            </w:tcMar>
          </w:tcPr>
          <w:p>
            <w:r>
              <w:rPr>
                <w:b/>
                <w:bCs/>
                <w:color w:val="FFFFFF"/>
              </w:rPr>
              <w:t xml:space="preserve">Phase</w:t>
            </w:r>
          </w:p>
        </w:tc>
        <w:tc>
          <w:tcPr>
            <w:tcW w:type="dxa" w:w="6900"/>
            <w:shd w:fill="2E75B6" w:val="clear"/>
            <w:tcMar>
              <w:top w:type="dxa" w:w="80"/>
              <w:left w:type="dxa" w:w="100"/>
              <w:bottom w:type="dxa" w:w="80"/>
              <w:right w:type="dxa" w:w="100"/>
            </w:tcMar>
          </w:tcPr>
          <w:p>
            <w:r>
              <w:rPr>
                <w:b/>
                <w:bCs/>
                <w:color w:val="FFFFFF"/>
              </w:rPr>
              <w:t xml:space="preserve">Core Modules Delivered</w:t>
            </w:r>
          </w:p>
        </w:tc>
      </w:tr>
      <w:tr>
        <w:tc>
          <w:tcPr>
            <w:tcW w:type="dxa" w:w="2600"/>
            <w:tcMar>
              <w:top w:type="dxa" w:w="80"/>
              <w:left w:type="dxa" w:w="100"/>
              <w:bottom w:type="dxa" w:w="80"/>
              <w:right w:type="dxa" w:w="100"/>
            </w:tcMar>
          </w:tcPr>
          <w:p>
            <w:r>
              <w:rPr>
                <w:b w:val="false"/>
                <w:bCs w:val="false"/>
                <w:color w:val="000000"/>
              </w:rPr>
              <w:t xml:space="preserve">0 — Foundation</w:t>
            </w:r>
          </w:p>
        </w:tc>
        <w:tc>
          <w:tcPr>
            <w:tcW w:type="dxa" w:w="6900"/>
            <w:tcMar>
              <w:top w:type="dxa" w:w="80"/>
              <w:left w:type="dxa" w:w="100"/>
              <w:bottom w:type="dxa" w:w="80"/>
              <w:right w:type="dxa" w:w="100"/>
            </w:tcMar>
          </w:tcPr>
          <w:p>
            <w:r>
              <w:rPr>
                <w:b w:val="false"/>
                <w:bCs w:val="false"/>
                <w:color w:val="000000"/>
              </w:rPr>
              <w:t xml:space="preserve">Multi-tenant platform, auth/RBAC, AI service layer</w:t>
            </w:r>
          </w:p>
        </w:tc>
      </w:tr>
      <w:tr>
        <w:tc>
          <w:tcPr>
            <w:tcW w:type="dxa" w:w="2600"/>
            <w:tcMar>
              <w:top w:type="dxa" w:w="80"/>
              <w:left w:type="dxa" w:w="100"/>
              <w:bottom w:type="dxa" w:w="80"/>
              <w:right w:type="dxa" w:w="100"/>
            </w:tcMar>
          </w:tcPr>
          <w:p>
            <w:r>
              <w:rPr>
                <w:b w:val="false"/>
                <w:bCs w:val="false"/>
                <w:color w:val="000000"/>
              </w:rPr>
              <w:t xml:space="preserve">1 — AI Discovery Core</w:t>
            </w:r>
          </w:p>
        </w:tc>
        <w:tc>
          <w:tcPr>
            <w:tcW w:type="dxa" w:w="6900"/>
            <w:tcMar>
              <w:top w:type="dxa" w:w="80"/>
              <w:left w:type="dxa" w:w="100"/>
              <w:bottom w:type="dxa" w:w="80"/>
              <w:right w:type="dxa" w:w="100"/>
            </w:tcMar>
          </w:tcPr>
          <w:p>
            <w:r>
              <w:rPr>
                <w:b w:val="false"/>
                <w:bCs w:val="false"/>
                <w:color w:val="000000"/>
              </w:rPr>
              <w:t xml:space="preserve">AI Transformation Companion, Document Upload, Business Analysis Engine (v1), AI Business Consultant (v1)</w:t>
            </w:r>
          </w:p>
        </w:tc>
      </w:tr>
      <w:tr>
        <w:tc>
          <w:tcPr>
            <w:tcW w:type="dxa" w:w="2600"/>
            <w:tcMar>
              <w:top w:type="dxa" w:w="80"/>
              <w:left w:type="dxa" w:w="100"/>
              <w:bottom w:type="dxa" w:w="80"/>
              <w:right w:type="dxa" w:w="100"/>
            </w:tcMar>
          </w:tcPr>
          <w:p>
            <w:r>
              <w:rPr>
                <w:b w:val="false"/>
                <w:bCs w:val="false"/>
                <w:color w:val="000000"/>
              </w:rPr>
              <w:t xml:space="preserve">2 — Solution Design</w:t>
            </w:r>
          </w:p>
        </w:tc>
        <w:tc>
          <w:tcPr>
            <w:tcW w:type="dxa" w:w="6900"/>
            <w:tcMar>
              <w:top w:type="dxa" w:w="80"/>
              <w:left w:type="dxa" w:w="100"/>
              <w:bottom w:type="dxa" w:w="80"/>
              <w:right w:type="dxa" w:w="100"/>
            </w:tcMar>
          </w:tcPr>
          <w:p>
            <w:r>
              <w:rPr>
                <w:b w:val="false"/>
                <w:bCs w:val="false"/>
                <w:color w:val="000000"/>
              </w:rPr>
              <w:t xml:space="preserve">AI Solution Builder, Solution Architecture Builder, Process Intelligence Designer, Database &amp; Integration Designer, AI UX Designer</w:t>
            </w:r>
          </w:p>
        </w:tc>
      </w:tr>
      <w:tr>
        <w:tc>
          <w:tcPr>
            <w:tcW w:type="dxa" w:w="2600"/>
            <w:tcMar>
              <w:top w:type="dxa" w:w="80"/>
              <w:left w:type="dxa" w:w="100"/>
              <w:bottom w:type="dxa" w:w="80"/>
              <w:right w:type="dxa" w:w="100"/>
            </w:tcMar>
          </w:tcPr>
          <w:p>
            <w:r>
              <w:rPr>
                <w:b w:val="false"/>
                <w:bCs w:val="false"/>
                <w:color w:val="000000"/>
              </w:rPr>
              <w:t xml:space="preserve">3 — Planning &amp; Dashboards</w:t>
            </w:r>
          </w:p>
        </w:tc>
        <w:tc>
          <w:tcPr>
            <w:tcW w:type="dxa" w:w="6900"/>
            <w:tcMar>
              <w:top w:type="dxa" w:w="80"/>
              <w:left w:type="dxa" w:w="100"/>
              <w:bottom w:type="dxa" w:w="80"/>
              <w:right w:type="dxa" w:w="100"/>
            </w:tcMar>
          </w:tcPr>
          <w:p>
            <w:r>
              <w:rPr>
                <w:b w:val="false"/>
                <w:bCs w:val="false"/>
                <w:color w:val="000000"/>
              </w:rPr>
              <w:t xml:space="preserve">Transformation Planner, AI Planning Engine, Transformation Dashboard</w:t>
            </w:r>
          </w:p>
        </w:tc>
      </w:tr>
      <w:tr>
        <w:tc>
          <w:tcPr>
            <w:tcW w:type="dxa" w:w="2600"/>
            <w:tcMar>
              <w:top w:type="dxa" w:w="80"/>
              <w:left w:type="dxa" w:w="100"/>
              <w:bottom w:type="dxa" w:w="80"/>
              <w:right w:type="dxa" w:w="100"/>
            </w:tcMar>
          </w:tcPr>
          <w:p>
            <w:r>
              <w:rPr>
                <w:b w:val="false"/>
                <w:bCs w:val="false"/>
                <w:color w:val="000000"/>
              </w:rPr>
              <w:t xml:space="preserve">4 — Collaboration &amp; Admin</w:t>
            </w:r>
          </w:p>
        </w:tc>
        <w:tc>
          <w:tcPr>
            <w:tcW w:type="dxa" w:w="6900"/>
            <w:tcMar>
              <w:top w:type="dxa" w:w="80"/>
              <w:left w:type="dxa" w:w="100"/>
              <w:bottom w:type="dxa" w:w="80"/>
              <w:right w:type="dxa" w:w="100"/>
            </w:tcMar>
          </w:tcPr>
          <w:p>
            <w:r>
              <w:rPr>
                <w:b w:val="false"/>
                <w:bCs w:val="false"/>
                <w:color w:val="000000"/>
              </w:rPr>
              <w:t xml:space="preserve">Team Collaboration, Export Reports, Enterprise API Integrations, Admin Dashboard</w:t>
            </w:r>
          </w:p>
        </w:tc>
      </w:tr>
      <w:tr>
        <w:tc>
          <w:tcPr>
            <w:tcW w:type="dxa" w:w="2600"/>
            <w:tcMar>
              <w:top w:type="dxa" w:w="80"/>
              <w:left w:type="dxa" w:w="100"/>
              <w:bottom w:type="dxa" w:w="80"/>
              <w:right w:type="dxa" w:w="100"/>
            </w:tcMar>
          </w:tcPr>
          <w:p>
            <w:r>
              <w:rPr>
                <w:b w:val="false"/>
                <w:bCs w:val="false"/>
                <w:color w:val="000000"/>
              </w:rPr>
              <w:t xml:space="preserve">5 — Mobile &amp; Hardening</w:t>
            </w:r>
          </w:p>
        </w:tc>
        <w:tc>
          <w:tcPr>
            <w:tcW w:type="dxa" w:w="6900"/>
            <w:tcMar>
              <w:top w:type="dxa" w:w="80"/>
              <w:left w:type="dxa" w:w="100"/>
              <w:bottom w:type="dxa" w:w="80"/>
              <w:right w:type="dxa" w:w="100"/>
            </w:tcMar>
          </w:tcPr>
          <w:p>
            <w:r>
              <w:rPr>
                <w:b w:val="false"/>
                <w:bCs w:val="false"/>
                <w:color w:val="000000"/>
              </w:rPr>
              <w:t xml:space="preserve">Android/iOS/Tablet clients, Multilingual support, Security &amp; performance hardening</w:t>
            </w:r>
          </w:p>
        </w:tc>
      </w:tr>
      <w:tr>
        <w:tc>
          <w:tcPr>
            <w:tcW w:type="dxa" w:w="2600"/>
            <w:tcMar>
              <w:top w:type="dxa" w:w="80"/>
              <w:left w:type="dxa" w:w="100"/>
              <w:bottom w:type="dxa" w:w="80"/>
              <w:right w:type="dxa" w:w="100"/>
            </w:tcMar>
          </w:tcPr>
          <w:p>
            <w:r>
              <w:rPr>
                <w:b w:val="false"/>
                <w:bCs w:val="false"/>
                <w:color w:val="000000"/>
              </w:rPr>
              <w:t xml:space="preserve">6 — Launch</w:t>
            </w:r>
          </w:p>
        </w:tc>
        <w:tc>
          <w:tcPr>
            <w:tcW w:type="dxa" w:w="6900"/>
            <w:tcMar>
              <w:top w:type="dxa" w:w="80"/>
              <w:left w:type="dxa" w:w="100"/>
              <w:bottom w:type="dxa" w:w="80"/>
              <w:right w:type="dxa" w:w="100"/>
            </w:tcMar>
          </w:tcPr>
          <w:p>
            <w:r>
              <w:rPr>
                <w:b w:val="false"/>
                <w:bCs w:val="false"/>
                <w:color w:val="000000"/>
              </w:rPr>
              <w:t xml:space="preserve">Rollout, continuous AI optimization, new USPs</w:t>
            </w:r>
          </w:p>
        </w:tc>
      </w:tr>
    </w:tbl>
    <w:p>
      <w:pPr>
        <w:pStyle w:val="Heading1"/>
        <w:spacing w:after="150" w:before="300"/>
      </w:pPr>
      <w:r>
        <w:t xml:space="preserve">5. Suggested Team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2E75B6" w:val="clear"/>
            <w:tcMar>
              <w:top w:type="dxa" w:w="80"/>
              <w:left w:type="dxa" w:w="100"/>
              <w:bottom w:type="dxa" w:w="80"/>
              <w:right w:type="dxa" w:w="100"/>
            </w:tcMar>
          </w:tcPr>
          <w:p>
            <w:r>
              <w:rPr>
                <w:b/>
                <w:bCs/>
                <w:color w:val="FFFFFF"/>
              </w:rPr>
              <w:t xml:space="preserve">Role</w:t>
            </w:r>
          </w:p>
        </w:tc>
        <w:tc>
          <w:tcPr>
            <w:tcW w:type="dxa" w:w="6200"/>
            <w:shd w:fill="2E75B6" w:val="clear"/>
            <w:tcMar>
              <w:top w:type="dxa" w:w="80"/>
              <w:left w:type="dxa" w:w="100"/>
              <w:bottom w:type="dxa" w:w="80"/>
              <w:right w:type="dxa" w:w="100"/>
            </w:tcMar>
          </w:tcPr>
          <w:p>
            <w:r>
              <w:rPr>
                <w:b/>
                <w:bCs/>
                <w:color w:val="FFFFFF"/>
              </w:rPr>
              <w:t xml:space="preserve">Focus</w:t>
            </w:r>
          </w:p>
        </w:tc>
      </w:tr>
      <w:tr>
        <w:tc>
          <w:tcPr>
            <w:tcW w:type="dxa" w:w="3300"/>
            <w:tcMar>
              <w:top w:type="dxa" w:w="80"/>
              <w:left w:type="dxa" w:w="100"/>
              <w:bottom w:type="dxa" w:w="80"/>
              <w:right w:type="dxa" w:w="100"/>
            </w:tcMar>
          </w:tcPr>
          <w:p>
            <w:r>
              <w:rPr>
                <w:b w:val="false"/>
                <w:bCs w:val="false"/>
                <w:color w:val="000000"/>
              </w:rPr>
              <w:t xml:space="preserve">Product Owner / Business Analyst</w:t>
            </w:r>
          </w:p>
        </w:tc>
        <w:tc>
          <w:tcPr>
            <w:tcW w:type="dxa" w:w="6200"/>
            <w:tcMar>
              <w:top w:type="dxa" w:w="80"/>
              <w:left w:type="dxa" w:w="100"/>
              <w:bottom w:type="dxa" w:w="80"/>
              <w:right w:type="dxa" w:w="100"/>
            </w:tcMar>
          </w:tcPr>
          <w:p>
            <w:r>
              <w:rPr>
                <w:b w:val="false"/>
                <w:bCs w:val="false"/>
                <w:color w:val="000000"/>
              </w:rPr>
              <w:t xml:space="preserve">Requirement discovery, spec validation, stakeholder alignment</w:t>
            </w:r>
          </w:p>
        </w:tc>
      </w:tr>
      <w:tr>
        <w:tc>
          <w:tcPr>
            <w:tcW w:type="dxa" w:w="3300"/>
            <w:tcMar>
              <w:top w:type="dxa" w:w="80"/>
              <w:left w:type="dxa" w:w="100"/>
              <w:bottom w:type="dxa" w:w="80"/>
              <w:right w:type="dxa" w:w="100"/>
            </w:tcMar>
          </w:tcPr>
          <w:p>
            <w:r>
              <w:rPr>
                <w:b w:val="false"/>
                <w:bCs w:val="false"/>
                <w:color w:val="000000"/>
              </w:rPr>
              <w:t xml:space="preserve">Solution Architect</w:t>
            </w:r>
          </w:p>
        </w:tc>
        <w:tc>
          <w:tcPr>
            <w:tcW w:type="dxa" w:w="6200"/>
            <w:tcMar>
              <w:top w:type="dxa" w:w="80"/>
              <w:left w:type="dxa" w:w="100"/>
              <w:bottom w:type="dxa" w:w="80"/>
              <w:right w:type="dxa" w:w="100"/>
            </w:tcMar>
          </w:tcPr>
          <w:p>
            <w:r>
              <w:rPr>
                <w:b w:val="false"/>
                <w:bCs w:val="false"/>
                <w:color w:val="000000"/>
              </w:rPr>
              <w:t xml:space="preserve">Overall platform architecture, HLD/LLD standards, security</w:t>
            </w:r>
          </w:p>
        </w:tc>
      </w:tr>
      <w:tr>
        <w:tc>
          <w:tcPr>
            <w:tcW w:type="dxa" w:w="3300"/>
            <w:tcMar>
              <w:top w:type="dxa" w:w="80"/>
              <w:left w:type="dxa" w:w="100"/>
              <w:bottom w:type="dxa" w:w="80"/>
              <w:right w:type="dxa" w:w="100"/>
            </w:tcMar>
          </w:tcPr>
          <w:p>
            <w:r>
              <w:rPr>
                <w:b w:val="false"/>
                <w:bCs w:val="false"/>
                <w:color w:val="000000"/>
              </w:rPr>
              <w:t xml:space="preserve">AI/ML Engineers</w:t>
            </w:r>
          </w:p>
        </w:tc>
        <w:tc>
          <w:tcPr>
            <w:tcW w:type="dxa" w:w="6200"/>
            <w:tcMar>
              <w:top w:type="dxa" w:w="80"/>
              <w:left w:type="dxa" w:w="100"/>
              <w:bottom w:type="dxa" w:w="80"/>
              <w:right w:type="dxa" w:w="100"/>
            </w:tcMar>
          </w:tcPr>
          <w:p>
            <w:r>
              <w:rPr>
                <w:b w:val="false"/>
                <w:bCs w:val="false"/>
                <w:color w:val="000000"/>
              </w:rPr>
              <w:t xml:space="preserve">LLM orchestration, prompt/agent design, document ingestion &amp; embeddings</w:t>
            </w:r>
          </w:p>
        </w:tc>
      </w:tr>
      <w:tr>
        <w:tc>
          <w:tcPr>
            <w:tcW w:type="dxa" w:w="3300"/>
            <w:tcMar>
              <w:top w:type="dxa" w:w="80"/>
              <w:left w:type="dxa" w:w="100"/>
              <w:bottom w:type="dxa" w:w="80"/>
              <w:right w:type="dxa" w:w="100"/>
            </w:tcMar>
          </w:tcPr>
          <w:p>
            <w:r>
              <w:rPr>
                <w:b w:val="false"/>
                <w:bCs w:val="false"/>
                <w:color w:val="000000"/>
              </w:rPr>
              <w:t xml:space="preserve">Backend Engineers</w:t>
            </w:r>
          </w:p>
        </w:tc>
        <w:tc>
          <w:tcPr>
            <w:tcW w:type="dxa" w:w="6200"/>
            <w:tcMar>
              <w:top w:type="dxa" w:w="80"/>
              <w:left w:type="dxa" w:w="100"/>
              <w:bottom w:type="dxa" w:w="80"/>
              <w:right w:type="dxa" w:w="100"/>
            </w:tcMar>
          </w:tcPr>
          <w:p>
            <w:r>
              <w:rPr>
                <w:b w:val="false"/>
                <w:bCs w:val="false"/>
                <w:color w:val="000000"/>
              </w:rPr>
              <w:t xml:space="preserve">APIs, multi-tenant data model, integrations, admin services</w:t>
            </w:r>
          </w:p>
        </w:tc>
      </w:tr>
      <w:tr>
        <w:tc>
          <w:tcPr>
            <w:tcW w:type="dxa" w:w="3300"/>
            <w:tcMar>
              <w:top w:type="dxa" w:w="80"/>
              <w:left w:type="dxa" w:w="100"/>
              <w:bottom w:type="dxa" w:w="80"/>
              <w:right w:type="dxa" w:w="100"/>
            </w:tcMar>
          </w:tcPr>
          <w:p>
            <w:r>
              <w:rPr>
                <w:b w:val="false"/>
                <w:bCs w:val="false"/>
                <w:color w:val="000000"/>
              </w:rPr>
              <w:t xml:space="preserve">Frontend Engineers (Web)</w:t>
            </w:r>
          </w:p>
        </w:tc>
        <w:tc>
          <w:tcPr>
            <w:tcW w:type="dxa" w:w="6200"/>
            <w:tcMar>
              <w:top w:type="dxa" w:w="80"/>
              <w:left w:type="dxa" w:w="100"/>
              <w:bottom w:type="dxa" w:w="80"/>
              <w:right w:type="dxa" w:w="100"/>
            </w:tcMar>
          </w:tcPr>
          <w:p>
            <w:r>
              <w:rPr>
                <w:b w:val="false"/>
                <w:bCs w:val="false"/>
                <w:color w:val="000000"/>
              </w:rPr>
              <w:t xml:space="preserve">AI chat UI, dashboards, blueprint viewers/editors</w:t>
            </w:r>
          </w:p>
        </w:tc>
      </w:tr>
      <w:tr>
        <w:tc>
          <w:tcPr>
            <w:tcW w:type="dxa" w:w="3300"/>
            <w:tcMar>
              <w:top w:type="dxa" w:w="80"/>
              <w:left w:type="dxa" w:w="100"/>
              <w:bottom w:type="dxa" w:w="80"/>
              <w:right w:type="dxa" w:w="100"/>
            </w:tcMar>
          </w:tcPr>
          <w:p>
            <w:r>
              <w:rPr>
                <w:b w:val="false"/>
                <w:bCs w:val="false"/>
                <w:color w:val="000000"/>
              </w:rPr>
              <w:t xml:space="preserve">Mobile Engineers</w:t>
            </w:r>
          </w:p>
        </w:tc>
        <w:tc>
          <w:tcPr>
            <w:tcW w:type="dxa" w:w="6200"/>
            <w:tcMar>
              <w:top w:type="dxa" w:w="80"/>
              <w:left w:type="dxa" w:w="100"/>
              <w:bottom w:type="dxa" w:w="80"/>
              <w:right w:type="dxa" w:w="100"/>
            </w:tcMar>
          </w:tcPr>
          <w:p>
            <w:r>
              <w:rPr>
                <w:b w:val="false"/>
                <w:bCs w:val="false"/>
                <w:color w:val="000000"/>
              </w:rPr>
              <w:t xml:space="preserve">Android, iOS, tablet clients</w:t>
            </w:r>
          </w:p>
        </w:tc>
      </w:tr>
      <w:tr>
        <w:tc>
          <w:tcPr>
            <w:tcW w:type="dxa" w:w="3300"/>
            <w:tcMar>
              <w:top w:type="dxa" w:w="80"/>
              <w:left w:type="dxa" w:w="100"/>
              <w:bottom w:type="dxa" w:w="80"/>
              <w:right w:type="dxa" w:w="100"/>
            </w:tcMar>
          </w:tcPr>
          <w:p>
            <w:r>
              <w:rPr>
                <w:b w:val="false"/>
                <w:bCs w:val="false"/>
                <w:color w:val="000000"/>
              </w:rPr>
              <w:t xml:space="preserve">UX/UI Designer</w:t>
            </w:r>
          </w:p>
        </w:tc>
        <w:tc>
          <w:tcPr>
            <w:tcW w:type="dxa" w:w="6200"/>
            <w:tcMar>
              <w:top w:type="dxa" w:w="80"/>
              <w:left w:type="dxa" w:w="100"/>
              <w:bottom w:type="dxa" w:w="80"/>
              <w:right w:type="dxa" w:w="100"/>
            </w:tcMar>
          </w:tcPr>
          <w:p>
            <w:r>
              <w:rPr>
                <w:b w:val="false"/>
                <w:bCs w:val="false"/>
                <w:color w:val="000000"/>
              </w:rPr>
              <w:t xml:space="preserve">Wireframe standards, dashboard design system, i18n-ready UI</w:t>
            </w:r>
          </w:p>
        </w:tc>
      </w:tr>
      <w:tr>
        <w:tc>
          <w:tcPr>
            <w:tcW w:type="dxa" w:w="3300"/>
            <w:tcMar>
              <w:top w:type="dxa" w:w="80"/>
              <w:left w:type="dxa" w:w="100"/>
              <w:bottom w:type="dxa" w:w="80"/>
              <w:right w:type="dxa" w:w="100"/>
            </w:tcMar>
          </w:tcPr>
          <w:p>
            <w:r>
              <w:rPr>
                <w:b w:val="false"/>
                <w:bCs w:val="false"/>
                <w:color w:val="000000"/>
              </w:rPr>
              <w:t xml:space="preserve">DevOps/SRE</w:t>
            </w:r>
          </w:p>
        </w:tc>
        <w:tc>
          <w:tcPr>
            <w:tcW w:type="dxa" w:w="6200"/>
            <w:tcMar>
              <w:top w:type="dxa" w:w="80"/>
              <w:left w:type="dxa" w:w="100"/>
              <w:bottom w:type="dxa" w:w="80"/>
              <w:right w:type="dxa" w:w="100"/>
            </w:tcMar>
          </w:tcPr>
          <w:p>
            <w:r>
              <w:rPr>
                <w:b w:val="false"/>
                <w:bCs w:val="false"/>
                <w:color w:val="000000"/>
              </w:rPr>
              <w:t xml:space="preserve">CI/CD, cloud infra, monitoring, backup &amp; DR</w:t>
            </w:r>
          </w:p>
        </w:tc>
      </w:tr>
      <w:tr>
        <w:tc>
          <w:tcPr>
            <w:tcW w:type="dxa" w:w="3300"/>
            <w:tcMar>
              <w:top w:type="dxa" w:w="80"/>
              <w:left w:type="dxa" w:w="100"/>
              <w:bottom w:type="dxa" w:w="80"/>
              <w:right w:type="dxa" w:w="100"/>
            </w:tcMar>
          </w:tcPr>
          <w:p>
            <w:r>
              <w:rPr>
                <w:b w:val="false"/>
                <w:bCs w:val="false"/>
                <w:color w:val="000000"/>
              </w:rPr>
              <w:t xml:space="preserve">QA/Security Engineers</w:t>
            </w:r>
          </w:p>
        </w:tc>
        <w:tc>
          <w:tcPr>
            <w:tcW w:type="dxa" w:w="6200"/>
            <w:tcMar>
              <w:top w:type="dxa" w:w="80"/>
              <w:left w:type="dxa" w:w="100"/>
              <w:bottom w:type="dxa" w:w="80"/>
              <w:right w:type="dxa" w:w="100"/>
            </w:tcMar>
          </w:tcPr>
          <w:p>
            <w:r>
              <w:rPr>
                <w:b w:val="false"/>
                <w:bCs w:val="false"/>
                <w:color w:val="000000"/>
              </w:rPr>
              <w:t xml:space="preserve">Test automation, penetration testing, compliance validation</w:t>
            </w:r>
          </w:p>
        </w:tc>
      </w:tr>
    </w:tbl>
    <w:p>
      <w:pPr>
        <w:pStyle w:val="Heading1"/>
        <w:spacing w:after="150" w:before="300"/>
      </w:pPr>
      <w:r>
        <w:t xml:space="preserve">6. Key Risks &amp;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2E75B6" w:val="clear"/>
            <w:tcMar>
              <w:top w:type="dxa" w:w="80"/>
              <w:left w:type="dxa" w:w="100"/>
              <w:bottom w:type="dxa" w:w="80"/>
              <w:right w:type="dxa" w:w="100"/>
            </w:tcMar>
          </w:tcPr>
          <w:p>
            <w:r>
              <w:rPr>
                <w:b/>
                <w:bCs/>
                <w:color w:val="FFFFFF"/>
              </w:rPr>
              <w:t xml:space="preserve">Risk</w:t>
            </w:r>
          </w:p>
        </w:tc>
        <w:tc>
          <w:tcPr>
            <w:tcW w:type="dxa" w:w="5300"/>
            <w:shd w:fill="2E75B6" w:val="clear"/>
            <w:tcMar>
              <w:top w:type="dxa" w:w="80"/>
              <w:left w:type="dxa" w:w="100"/>
              <w:bottom w:type="dxa" w:w="80"/>
              <w:right w:type="dxa" w:w="100"/>
            </w:tcMar>
          </w:tcPr>
          <w:p>
            <w:r>
              <w:rPr>
                <w:b/>
                <w:bCs/>
                <w:color w:val="FFFFFF"/>
              </w:rPr>
              <w:t xml:space="preserve">Mitigation</w:t>
            </w:r>
          </w:p>
        </w:tc>
      </w:tr>
      <w:tr>
        <w:tc>
          <w:tcPr>
            <w:tcW w:type="dxa" w:w="4200"/>
            <w:tcMar>
              <w:top w:type="dxa" w:w="80"/>
              <w:left w:type="dxa" w:w="100"/>
              <w:bottom w:type="dxa" w:w="80"/>
              <w:right w:type="dxa" w:w="100"/>
            </w:tcMar>
          </w:tcPr>
          <w:p>
            <w:r>
              <w:rPr>
                <w:b w:val="false"/>
                <w:bCs w:val="false"/>
                <w:color w:val="000000"/>
              </w:rPr>
              <w:t xml:space="preserve">AI recommendation quality/hallucination</w:t>
            </w:r>
          </w:p>
        </w:tc>
        <w:tc>
          <w:tcPr>
            <w:tcW w:type="dxa" w:w="5300"/>
            <w:tcMar>
              <w:top w:type="dxa" w:w="80"/>
              <w:left w:type="dxa" w:w="100"/>
              <w:bottom w:type="dxa" w:w="80"/>
              <w:right w:type="dxa" w:w="100"/>
            </w:tcMar>
          </w:tcPr>
          <w:p>
            <w:r>
              <w:rPr>
                <w:b w:val="false"/>
                <w:bCs w:val="false"/>
                <w:color w:val="000000"/>
              </w:rPr>
              <w:t xml:space="preserve">Human-in-the-loop review; AI outputs marked advisory; feedback loop for continuous tuning</w:t>
            </w:r>
          </w:p>
        </w:tc>
      </w:tr>
      <w:tr>
        <w:tc>
          <w:tcPr>
            <w:tcW w:type="dxa" w:w="4200"/>
            <w:tcMar>
              <w:top w:type="dxa" w:w="80"/>
              <w:left w:type="dxa" w:w="100"/>
              <w:bottom w:type="dxa" w:w="80"/>
              <w:right w:type="dxa" w:w="100"/>
            </w:tcMar>
          </w:tcPr>
          <w:p>
            <w:r>
              <w:rPr>
                <w:b w:val="false"/>
                <w:bCs w:val="false"/>
                <w:color w:val="000000"/>
              </w:rPr>
              <w:t xml:space="preserve">Scope breadth causing delayed MVP</w:t>
            </w:r>
          </w:p>
        </w:tc>
        <w:tc>
          <w:tcPr>
            <w:tcW w:type="dxa" w:w="5300"/>
            <w:tcMar>
              <w:top w:type="dxa" w:w="80"/>
              <w:left w:type="dxa" w:w="100"/>
              <w:bottom w:type="dxa" w:w="80"/>
              <w:right w:type="dxa" w:w="100"/>
            </w:tcMar>
          </w:tcPr>
          <w:p>
            <w:r>
              <w:rPr>
                <w:b w:val="false"/>
                <w:bCs w:val="false"/>
                <w:color w:val="000000"/>
              </w:rPr>
              <w:t xml:space="preserve">Strict vertical-slice sequencing (Phase 1) before expanding to all nine engines</w:t>
            </w:r>
          </w:p>
        </w:tc>
      </w:tr>
      <w:tr>
        <w:tc>
          <w:tcPr>
            <w:tcW w:type="dxa" w:w="4200"/>
            <w:tcMar>
              <w:top w:type="dxa" w:w="80"/>
              <w:left w:type="dxa" w:w="100"/>
              <w:bottom w:type="dxa" w:w="80"/>
              <w:right w:type="dxa" w:w="100"/>
            </w:tcMar>
          </w:tcPr>
          <w:p>
            <w:r>
              <w:rPr>
                <w:b w:val="false"/>
                <w:bCs w:val="false"/>
                <w:color w:val="000000"/>
              </w:rPr>
              <w:t xml:space="preserve">Multi-tenant data leakage</w:t>
            </w:r>
          </w:p>
        </w:tc>
        <w:tc>
          <w:tcPr>
            <w:tcW w:type="dxa" w:w="5300"/>
            <w:tcMar>
              <w:top w:type="dxa" w:w="80"/>
              <w:left w:type="dxa" w:w="100"/>
              <w:bottom w:type="dxa" w:w="80"/>
              <w:right w:type="dxa" w:w="100"/>
            </w:tcMar>
          </w:tcPr>
          <w:p>
            <w:r>
              <w:rPr>
                <w:b w:val="false"/>
                <w:bCs w:val="false"/>
                <w:color w:val="000000"/>
              </w:rPr>
              <w:t xml:space="preserve">Tenant isolation and RBAC designed in Phase 0, validated with security audits before each release</w:t>
            </w:r>
          </w:p>
        </w:tc>
      </w:tr>
      <w:tr>
        <w:tc>
          <w:tcPr>
            <w:tcW w:type="dxa" w:w="4200"/>
            <w:tcMar>
              <w:top w:type="dxa" w:w="80"/>
              <w:left w:type="dxa" w:w="100"/>
              <w:bottom w:type="dxa" w:w="80"/>
              <w:right w:type="dxa" w:w="100"/>
            </w:tcMar>
          </w:tcPr>
          <w:p>
            <w:r>
              <w:rPr>
                <w:b w:val="false"/>
                <w:bCs w:val="false"/>
                <w:color w:val="000000"/>
              </w:rPr>
              <w:t xml:space="preserve">Document/diagram generation complexity</w:t>
            </w:r>
          </w:p>
        </w:tc>
        <w:tc>
          <w:tcPr>
            <w:tcW w:type="dxa" w:w="5300"/>
            <w:tcMar>
              <w:top w:type="dxa" w:w="80"/>
              <w:left w:type="dxa" w:w="100"/>
              <w:bottom w:type="dxa" w:w="80"/>
              <w:right w:type="dxa" w:w="100"/>
            </w:tcMar>
          </w:tcPr>
          <w:p>
            <w:r>
              <w:rPr>
                <w:b w:val="false"/>
                <w:bCs w:val="false"/>
                <w:color w:val="000000"/>
              </w:rPr>
              <w:t xml:space="preserve">Invest early in a reusable templating &amp; export pipeline shared across BPMN, wireframes, ER diagrams and reports</w:t>
            </w:r>
          </w:p>
        </w:tc>
      </w:tr>
      <w:tr>
        <w:tc>
          <w:tcPr>
            <w:tcW w:type="dxa" w:w="4200"/>
            <w:tcMar>
              <w:top w:type="dxa" w:w="80"/>
              <w:left w:type="dxa" w:w="100"/>
              <w:bottom w:type="dxa" w:w="80"/>
              <w:right w:type="dxa" w:w="100"/>
            </w:tcMar>
          </w:tcPr>
          <w:p>
            <w:r>
              <w:rPr>
                <w:b w:val="false"/>
                <w:bCs w:val="false"/>
                <w:color w:val="000000"/>
              </w:rPr>
              <w:t xml:space="preserve">Multilingual scope inflating timelines</w:t>
            </w:r>
          </w:p>
        </w:tc>
        <w:tc>
          <w:tcPr>
            <w:tcW w:type="dxa" w:w="5300"/>
            <w:tcMar>
              <w:top w:type="dxa" w:w="80"/>
              <w:left w:type="dxa" w:w="100"/>
              <w:bottom w:type="dxa" w:w="80"/>
              <w:right w:type="dxa" w:w="100"/>
            </w:tcMar>
          </w:tcPr>
          <w:p>
            <w:r>
              <w:rPr>
                <w:b w:val="false"/>
                <w:bCs w:val="false"/>
                <w:color w:val="000000"/>
              </w:rPr>
              <w:t xml:space="preserve">Build i18n framework early (Phase 0) even though full language rollout happens in Phase 5</w:t>
            </w:r>
          </w:p>
        </w:tc>
      </w:tr>
    </w:tbl>
    <w:p>
      <w:pPr>
        <w:pStyle w:val="Heading1"/>
        <w:spacing w:after="150" w:before="300"/>
      </w:pPr>
      <w:r>
        <w:t xml:space="preserve">7. Success Metrics</w:t>
      </w:r>
    </w:p>
    <w:p>
      <w:pPr>
        <w:pStyle w:val="ListParagraph"/>
        <w:numPr>
          <w:ilvl w:val="0"/>
          <w:numId w:val="2"/>
        </w:numPr>
        <w:spacing w:after="60"/>
      </w:pPr>
      <w:r>
        <w:t xml:space="preserve">Time from business input to first AI-generated recommendation (target: minutes, per spec's expected outcomes).</w:t>
      </w:r>
    </w:p>
    <w:p>
      <w:pPr>
        <w:pStyle w:val="ListParagraph"/>
        <w:numPr>
          <w:ilvl w:val="0"/>
          <w:numId w:val="2"/>
        </w:numPr>
        <w:spacing w:after="60"/>
      </w:pPr>
      <w:r>
        <w:t xml:space="preserve">Reduction in manual discovery/analysis/consulting effort vs. traditional approach.</w:t>
      </w:r>
    </w:p>
    <w:p>
      <w:pPr>
        <w:pStyle w:val="ListParagraph"/>
        <w:numPr>
          <w:ilvl w:val="0"/>
          <w:numId w:val="2"/>
        </w:numPr>
        <w:spacing w:after="60"/>
      </w:pPr>
      <w:r>
        <w:t xml:space="preserve">Adoption: number of workspaces, active users, and solution blueprints generated and exported.</w:t>
      </w:r>
    </w:p>
    <w:p>
      <w:pPr>
        <w:pStyle w:val="ListParagraph"/>
        <w:numPr>
          <w:ilvl w:val="0"/>
          <w:numId w:val="2"/>
        </w:numPr>
        <w:spacing w:after="60"/>
      </w:pPr>
      <w:r>
        <w:t xml:space="preserve">Quality: recommendation validation/acceptance rate by users; regeneration frequency as quality signal.</w:t>
      </w:r>
    </w:p>
    <w:p>
      <w:pPr>
        <w:pStyle w:val="ListParagraph"/>
        <w:numPr>
          <w:ilvl w:val="0"/>
          <w:numId w:val="2"/>
        </w:numPr>
        <w:spacing w:after="60"/>
      </w:pPr>
      <w:r>
        <w:t xml:space="preserve">Platform health: uptime, AI processing latency, security incident count.</w:t>
      </w:r>
    </w:p>
    <w:p>
      <w:pPr>
        <w:pStyle w:val="Heading1"/>
        <w:spacing w:after="150" w:before="300"/>
      </w:pPr>
      <w:r>
        <w:t xml:space="preserve">8. Notes</w:t>
      </w:r>
    </w:p>
    <w:p>
      <w:pPr>
        <w:spacing w:after="120"/>
      </w:pPr>
      <w:r>
        <w:rPr>
          <w:i/>
          <w:iCs/>
          <w:color w:val="555555"/>
        </w:rPr>
        <w:t xml:space="preserve">This plan sequences delivery based on the specification provided. Actual timelines should be recalibrated once team size, chosen AI stack, and infrastructure decisions are finalized. Per the source document, the listed features represent minimum expected functionality — teams should continue identifying additional USPs and differentiators throughout delivery, not only at launch.</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2026-08-30T09:11:26.120Z</dcterms:created>
  <dcterms:modified xsi:type="dcterms:W3CDTF">2026-08-30T09:11:26.131Z</dcterms:modified>
</cp:coreProperties>
</file>

<file path=docProps/custom.xml><?xml version="1.0" encoding="utf-8"?>
<Properties xmlns="http://schemas.openxmlformats.org/officeDocument/2006/custom-properties" xmlns:vt="http://schemas.openxmlformats.org/officeDocument/2006/docPropsVTypes"/>
</file>