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color w:val="1A2B4C"/>
          <w:sz w:val="44"/>
        </w:rPr>
        <w:t>Autonomous Multi-Agent Robotics in Subterranean Search and Rescue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spacing w:after="80"/>
            </w:pPr>
            <w:r>
              <w:rPr>
                <w:b/>
                <w:color w:val="1A2B4C"/>
                <w:sz w:val="20"/>
              </w:rPr>
              <w:t>ABSTRACT</w:t>
              <w:br/>
            </w:r>
            <w:r>
              <w:rPr>
                <w:i/>
                <w:sz w:val="21"/>
              </w:rPr>
              <w:t>This study explores multi-agent coordination under communication constraints.</w:t>
            </w:r>
          </w:p>
          <w:p>
            <w:r>
              <w:rPr>
                <w:b/>
                <w:sz w:val="19"/>
              </w:rPr>
              <w:t xml:space="preserve">Keywords: </w:t>
            </w:r>
            <w:r>
              <w:rPr>
                <w:i/>
                <w:sz w:val="19"/>
              </w:rPr>
              <w:t>Robotics, Multi-Agent, Subterranean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1. Introduction</w:t>
      </w:r>
    </w:p>
    <w:p>
      <w:r>
        <w:t>Subterranean environments present severe operational challenges...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2. Literature Review</w:t>
      </w:r>
    </w:p>
    <w:p>
      <w:r>
        <w:t>Prior work by Smith et al. (2024) demonstrated...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3. Research Gap</w:t>
      </w:r>
    </w:p>
    <w:p>
      <w:r>
        <w:t>Limited real-time adaptivity under total comms loss.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4. Research Objectives</w:t>
      </w:r>
    </w:p>
    <w:p>
      <w:pPr>
        <w:pStyle w:val="ListBullet"/>
      </w:pPr>
      <w:r>
        <w:t>Develop decentralized consensus</w:t>
      </w:r>
    </w:p>
    <w:p>
      <w:pPr>
        <w:pStyle w:val="ListBullet"/>
      </w:pPr>
      <w:r>
        <w:t>Evaluate search coverage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5. Research Questions</w:t>
      </w:r>
    </w:p>
    <w:p>
      <w:pPr>
        <w:pStyle w:val="ListBullet"/>
      </w:pPr>
      <w:r>
        <w:t>How does loss of comms affect latency?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6. Conceptual Framework</w:t>
      </w:r>
    </w:p>
    <w:p>
      <w:r>
        <w:t>Decentralized Graph Neural Network framework.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7. Hypotheses</w:t>
      </w:r>
    </w:p>
    <w:p>
      <w:pPr>
        <w:pStyle w:val="ListBullet"/>
      </w:pPr>
      <w:r>
        <w:t>H1: Decentralized routing reduces latency by 30%.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8. Research Design</w:t>
      </w:r>
    </w:p>
    <w:p>
      <w:r>
        <w:t>Experimental simulation benchmark.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9. Data Collection Plan</w:t>
      </w:r>
    </w:p>
    <w:p>
      <w:r>
        <w:t>Simulated sensor logs across 50 cavern trials.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10. Data Analysis Plan</w:t>
      </w:r>
    </w:p>
    <w:p>
      <w:r>
        <w:t>ANOVA variance analysis of coverage rates.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11. Results</w:t>
      </w:r>
    </w:p>
    <w:p>
      <w:r>
        <w:t>Decentralized agents achieved 94% coverage.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12. Discussion</w:t>
      </w:r>
    </w:p>
    <w:p>
      <w:r>
        <w:t>The findings confirm H1 predictions.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13. Practical &amp; Theoretical Implications</w:t>
      </w:r>
    </w:p>
    <w:p>
      <w:r>
        <w:t>Crucial for emergency response teams.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14. Limitations</w:t>
      </w:r>
    </w:p>
    <w:p>
      <w:r>
        <w:t>Simulated noise models may underrepresent extreme dust.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15. Conclusion</w:t>
      </w:r>
    </w:p>
    <w:p>
      <w:r>
        <w:t>Decentralized multi-agent systems significantly improve resilience.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16. Future Scope</w:t>
      </w:r>
    </w:p>
    <w:p>
      <w:r>
        <w:t>Field deployment in active mine shafts.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17. References</w:t>
      </w:r>
    </w:p>
    <w:p>
      <w:pPr>
        <w:pStyle w:val="ListBullet"/>
      </w:pPr>
      <w:r>
        <w:t>Smith, J. et al. (2024). Robotics in Caverns. IEEE Trans.</w:t>
      </w:r>
    </w:p>
    <w:p>
      <w:pPr>
        <w:pStyle w:val="Heading1"/>
        <w:spacing w:before="240" w:after="120"/>
      </w:pPr>
      <w:r>
        <w:rPr>
          <w:rFonts w:ascii="Times New Roman" w:hAnsi="Times New Roman"/>
          <w:b/>
          <w:color w:val="1A2B4C"/>
          <w:sz w:val="28"/>
        </w:rPr>
        <w:t>18. Appendices</w:t>
      </w:r>
    </w:p>
    <w:p>
      <w:pPr>
        <w:pStyle w:val="ListBullet"/>
      </w:pPr>
      <w:r>
        <w:t>Appendix A: Simulation Hyperparameters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