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Times New Roman" w:cs="Times New Roman" w:eastAsia="Times New Roman" w:hAnsi="Times New Roman"/>
          <w:b/>
          <w:bCs/>
          <w:i/>
          <w:iCs/>
          <w:sz w:val="20"/>
          <w:szCs w:val="20"/>
        </w:rPr>
        <w:t xml:space="preserve">TEMPLATE NOTES — READ THEN DELETE THIS BOX BEFORE SUBMITTING ANYTHING</w:t>
      </w:r>
    </w:p>
    <w:p>
      <w:pPr>
        <w:shd w:fill="F2F2F2" w:val="clear"/>
        <w:spacing w:after="100"/>
      </w:pPr>
      <w:r>
        <w:rPr>
          <w:rFonts w:ascii="Times New Roman" w:cs="Times New Roman" w:eastAsia="Times New Roman" w:hAnsi="Times New Roman"/>
          <w:i/>
          <w:iCs/>
          <w:color w:val="444444"/>
          <w:sz w:val="20"/>
          <w:szCs w:val="20"/>
        </w:rPr>
        <w:t xml:space="preserve">Results tables below now hold real, verified numbers from your actual runs, not placeholders. The Abstract's [FINDING]/[IMPLICATION], the Results interpretation paragraphs, Discussion, and Conclusion are still yours to write; those need your own judgment, not a mechanical fill. Italicized gray text is instructional, delete it from your final draft.</w:t>
      </w:r>
    </w:p>
    <w:p>
      <w:pPr>
        <w:spacing w:after="240"/>
      </w:pPr>
      <w:r>
        <w:t xml:space="preserve"/>
      </w:r>
    </w:p>
    <w:p>
      <w:pPr>
        <w:spacing w:after="120"/>
        <w:jc w:val="center"/>
      </w:pPr>
      <w:r>
        <w:rPr>
          <w:rFonts w:ascii="Times New Roman" w:cs="Times New Roman" w:eastAsia="Times New Roman" w:hAnsi="Times New Roman"/>
          <w:b/>
          <w:bCs/>
          <w:sz w:val="32"/>
          <w:szCs w:val="32"/>
        </w:rPr>
        <w:t xml:space="preserve">Does Group Fairness Guarantee Recourse Fairness? An Empirical Test Across Two Decision Domains</w:t>
      </w:r>
    </w:p>
    <w:p>
      <w:pPr>
        <w:spacing w:after="40"/>
        <w:jc w:val="center"/>
      </w:pPr>
      <w:r>
        <w:rPr>
          <w:rFonts w:ascii="Times New Roman" w:cs="Times New Roman" w:eastAsia="Times New Roman" w:hAnsi="Times New Roman"/>
          <w:i/>
          <w:iCs/>
          <w:sz w:val="24"/>
          <w:szCs w:val="24"/>
        </w:rPr>
        <w:t xml:space="preserve">[Your Name]</w:t>
      </w:r>
    </w:p>
    <w:p>
      <w:pPr>
        <w:spacing w:after="400"/>
        <w:jc w:val="center"/>
      </w:pPr>
      <w:r>
        <w:rPr>
          <w:rFonts w:ascii="Times New Roman" w:cs="Times New Roman" w:eastAsia="Times New Roman" w:hAnsi="Times New Roman"/>
          <w:i/>
          <w:iCs/>
          <w:sz w:val="22"/>
          <w:szCs w:val="22"/>
        </w:rPr>
        <w:t xml:space="preserve">Independent Research — October 2026</w:t>
      </w:r>
    </w:p>
    <w:p>
      <w:pPr>
        <w:pStyle w:val="Heading1"/>
        <w:spacing w:after="160" w:before="360"/>
      </w:pPr>
      <w:r>
        <w:rPr>
          <w:rFonts w:ascii="Times New Roman" w:cs="Times New Roman" w:eastAsia="Times New Roman" w:hAnsi="Times New Roman"/>
          <w:b/>
          <w:bCs/>
          <w:sz w:val="27"/>
          <w:szCs w:val="27"/>
        </w:rPr>
        <w:t xml:space="preserve">Abstract</w:t>
      </w:r>
    </w:p>
    <w:p>
      <w:pPr>
        <w:spacing w:after="200" w:line="276"/>
        <w:jc w:val="both"/>
      </w:pPr>
      <w:r>
        <w:rPr>
          <w:rFonts w:ascii="Times New Roman" w:cs="Times New Roman" w:eastAsia="Times New Roman" w:hAnsi="Times New Roman"/>
          <w:i w:val="false"/>
          <w:iCs w:val="false"/>
          <w:sz w:val="24"/>
          <w:szCs w:val="24"/>
        </w:rPr>
        <w:t xml:space="preserve">Automated decision systems are increasingly evaluated for fairness using group-level metrics such as demographic parity and equalized odds, which compare outcome or error rates across protected groups. A separate line of work on algorithmic recourse asks a different question: for individuals who receive an unfavorable decision, how large a change would they need to make to receive a favorable one? This paper asks whether these two notions of fairness move together. We apply two bias mitigation techniques, Reweighing and a fairness-regularized logistic regression, to linear classifiers trained on two publicly available datasets from different decision domains: lending (Adult Census Income) and criminal justice (ProPublica's COMPAS recidivism data). We measure recourse disparity before and after each intervention using standard group fairness metrics alongside a closed-form margin calculation, tested for significance with a Mann-Whitney U test and reported with rank-biserial effect sizes.</w:t>
      </w:r>
    </w:p>
    <w:p>
      <w:pPr>
        <w:spacing w:after="200" w:line="276"/>
      </w:pPr>
      <w:r>
        <w:rPr>
          <w:rFonts w:ascii="Times New Roman" w:cs="Times New Roman" w:eastAsia="Times New Roman" w:hAnsi="Times New Roman"/>
          <w:i/>
          <w:iCs/>
          <w:color w:val="555555"/>
          <w:sz w:val="24"/>
          <w:szCs w:val="24"/>
        </w:rPr>
        <w:t xml:space="preserve">[FINDING: On COMPAS, the recourse gap was never statistically significant (baseline p=0.854) and stayed that way after both interventions, even as both closed the group fairness gap sharply. On Adult, a large, significant baseline recourse gap (r=0.454) shrank under Reweighing (r=0.246) but remained significant, and reversed direction under the fairness-regularized method (r=-0.050), still significant but now favoring the previously disadvantaged group. State this in your own words and say what you think it means.]</w:t>
      </w:r>
    </w:p>
    <w:p>
      <w:pPr>
        <w:spacing w:after="200" w:line="276"/>
      </w:pPr>
      <w:r>
        <w:rPr>
          <w:rFonts w:ascii="Times New Roman" w:cs="Times New Roman" w:eastAsia="Times New Roman" w:hAnsi="Times New Roman"/>
          <w:i/>
          <w:iCs/>
          <w:color w:val="555555"/>
          <w:sz w:val="24"/>
          <w:szCs w:val="24"/>
        </w:rPr>
        <w:t xml:space="preserve">[IMPLICATION: one or two sentences, e.g. on why a fixed correction strength may overshoot on datasets with large baseline gaps while leaving small gaps untouched, and what that means for how fairness fixes get audited in practice.]</w:t>
      </w:r>
    </w:p>
    <w:p>
      <w:pPr>
        <w:pStyle w:val="Heading1"/>
        <w:spacing w:after="160" w:before="360"/>
      </w:pPr>
      <w:r>
        <w:rPr>
          <w:rFonts w:ascii="Times New Roman" w:cs="Times New Roman" w:eastAsia="Times New Roman" w:hAnsi="Times New Roman"/>
          <w:b/>
          <w:bCs/>
          <w:sz w:val="27"/>
          <w:szCs w:val="27"/>
        </w:rPr>
        <w:t xml:space="preserve">1. Introduction</w:t>
      </w:r>
    </w:p>
    <w:p>
      <w:pPr>
        <w:spacing w:after="200" w:line="276"/>
        <w:jc w:val="both"/>
      </w:pPr>
      <w:r>
        <w:rPr>
          <w:rFonts w:ascii="Times New Roman" w:cs="Times New Roman" w:eastAsia="Times New Roman" w:hAnsi="Times New Roman"/>
          <w:i w:val="false"/>
          <w:iCs w:val="false"/>
          <w:sz w:val="24"/>
          <w:szCs w:val="24"/>
        </w:rPr>
        <w:t xml:space="preserve">Suppose a bank uses a machine learning model to decide who receives a loan. Regulators, and increasingly the public, ask whether that model is fair. In practice, "fair" almost always means one specific thing: that people from different protected groups (for example, defined by sex or race) are approved at similar rates, or are denied in error at similar rates. These are the group fairness metrics, demographic parity and equalized odds, that dominate both the academic fairness literature and real deployed audit practices.</w:t>
      </w:r>
    </w:p>
    <w:p>
      <w:pPr>
        <w:spacing w:after="200" w:line="276"/>
        <w:jc w:val="both"/>
      </w:pPr>
      <w:r>
        <w:rPr>
          <w:rFonts w:ascii="Times New Roman" w:cs="Times New Roman" w:eastAsia="Times New Roman" w:hAnsi="Times New Roman"/>
          <w:i w:val="false"/>
          <w:iCs w:val="false"/>
          <w:sz w:val="24"/>
          <w:szCs w:val="24"/>
        </w:rPr>
        <w:t xml:space="preserve">There is a second, quieter question that group fairness metrics do not answer. Among the people a model denies, how close were they to being approved? If a denied applicant in one group would need only a small, plausible change to flip to approved, while a denied applicant in another group, at an identical predicted risk level, would need a much larger change, something unequal is happening that group-level rate comparisons cannot see. This is the question addressed by the algorithmic recourse literature: for a given individual, what is the minimum-cost change to their features that would flip an unfavorable prediction to a favorable one (Ustun et al., 2019)? Prior work has proposed defining fairness directly in terms of this recourse cost, requiring that the average distance to a favorable outcome be similar across protected groups (Gupta et al., 2019).</w:t>
      </w:r>
    </w:p>
    <w:p>
      <w:pPr>
        <w:spacing w:after="200" w:line="276"/>
        <w:jc w:val="both"/>
      </w:pPr>
      <w:r>
        <w:rPr>
          <w:rFonts w:ascii="Times New Roman" w:cs="Times New Roman" w:eastAsia="Times New Roman" w:hAnsi="Times New Roman"/>
          <w:i w:val="false"/>
          <w:iCs w:val="false"/>
          <w:sz w:val="24"/>
          <w:szCs w:val="24"/>
        </w:rPr>
        <w:t xml:space="preserve">These two notions of fairness are conceptually distinct, and there is no a priori reason a classifier that satisfies one should satisfy the other. A model can, in principle, deny two groups at identical rates while consistently placing one group's denied members much closer to the decision boundary than the other's. Because almost all real-world fairness auditing and regulation targets group-level rates rather than recourse cost, a classifier that passes a standard fairness check could still leave a systematically harder path to a favorable outcome for one group, entirely unmeasured by the check that certified it as fair.</w:t>
      </w:r>
    </w:p>
    <w:p>
      <w:pPr>
        <w:spacing w:after="200" w:line="276"/>
        <w:jc w:val="both"/>
      </w:pPr>
      <w:r>
        <w:rPr>
          <w:rFonts w:ascii="Times New Roman" w:cs="Times New Roman" w:eastAsia="Times New Roman" w:hAnsi="Times New Roman"/>
          <w:i w:val="false"/>
          <w:iCs w:val="false"/>
          <w:sz w:val="24"/>
          <w:szCs w:val="24"/>
        </w:rPr>
        <w:t xml:space="preserve">This paper asks a direct empirical question: when a classifier is modified using a standard bias mitigation technique until it satisfies group fairness, does the resulting model also close the recourse gap between groups, or does the gap persist, unmeasured, underneath a model that now appears fair? We test this across two publicly available datasets from different decision domains, using two mitigation techniques that operate at different stages of the machine learning pipeline, so that any pattern we observe is not an artifact of one dataset or one method alone.</w:t>
      </w:r>
    </w:p>
    <w:p>
      <w:pPr>
        <w:pStyle w:val="Heading1"/>
        <w:spacing w:after="160" w:before="360"/>
      </w:pPr>
      <w:r>
        <w:rPr>
          <w:rFonts w:ascii="Times New Roman" w:cs="Times New Roman" w:eastAsia="Times New Roman" w:hAnsi="Times New Roman"/>
          <w:b/>
          <w:bCs/>
          <w:sz w:val="27"/>
          <w:szCs w:val="27"/>
        </w:rPr>
        <w:t xml:space="preserve">2. Related Work</w:t>
      </w:r>
    </w:p>
    <w:p>
      <w:pPr>
        <w:pStyle w:val="Heading2"/>
        <w:spacing w:after="140" w:before="260"/>
      </w:pPr>
      <w:r>
        <w:rPr>
          <w:rFonts w:ascii="Times New Roman" w:cs="Times New Roman" w:eastAsia="Times New Roman" w:hAnsi="Times New Roman"/>
          <w:b/>
          <w:bCs/>
          <w:i/>
          <w:iCs/>
          <w:sz w:val="24"/>
          <w:szCs w:val="24"/>
        </w:rPr>
        <w:t xml:space="preserve">Group fairness.</w:t>
      </w:r>
    </w:p>
    <w:p>
      <w:pPr>
        <w:spacing w:after="200" w:line="276"/>
        <w:jc w:val="both"/>
      </w:pPr>
      <w:r>
        <w:rPr>
          <w:rFonts w:ascii="Times New Roman" w:cs="Times New Roman" w:eastAsia="Times New Roman" w:hAnsi="Times New Roman"/>
          <w:i w:val="false"/>
          <w:iCs w:val="false"/>
          <w:sz w:val="24"/>
          <w:szCs w:val="24"/>
        </w:rPr>
        <w:t xml:space="preserve">Most technical work on machine learning fairness defines fairness as a statistical property of a model's outcomes across protected groups. Demographic parity requires equal rates of favorable prediction across groups; equalized odds requires equal true and false positive rates across groups (Hardt, Price, &amp; Srebro, 2016). These definitions, and the toolkits built around them, treat fairness as a property of aggregate rates rather than of any individual's path to a favorable outcome.</w:t>
      </w:r>
    </w:p>
    <w:p>
      <w:pPr>
        <w:pStyle w:val="Heading2"/>
        <w:spacing w:after="140" w:before="260"/>
      </w:pPr>
      <w:r>
        <w:rPr>
          <w:rFonts w:ascii="Times New Roman" w:cs="Times New Roman" w:eastAsia="Times New Roman" w:hAnsi="Times New Roman"/>
          <w:b/>
          <w:bCs/>
          <w:i/>
          <w:iCs/>
          <w:sz w:val="24"/>
          <w:szCs w:val="24"/>
        </w:rPr>
        <w:t xml:space="preserve">Algorithmic recourse.</w:t>
      </w:r>
    </w:p>
    <w:p>
      <w:pPr>
        <w:spacing w:after="200" w:line="276"/>
        <w:jc w:val="both"/>
      </w:pPr>
      <w:r>
        <w:rPr>
          <w:rFonts w:ascii="Times New Roman" w:cs="Times New Roman" w:eastAsia="Times New Roman" w:hAnsi="Times New Roman"/>
          <w:i w:val="false"/>
          <w:iCs w:val="false"/>
          <w:sz w:val="24"/>
          <w:szCs w:val="24"/>
        </w:rPr>
        <w:t xml:space="preserve">A separate literature asks what an individual, rather than a group, would need to do to change an unfavorable outcome. Ustun, Spangher, and Liu (2019) formalized this as a constrained optimization problem for linear classifiers and showed, on real credit data, that the difficulty of obtaining a favorable outcome differed measurably by gender even before any fairness intervention was applied. Gupta, Nokhiz, Roy, and Venkatasubramanian (2019) proposed treating equal average recourse cost across groups as a fairness criterion in its own right.</w:t>
      </w:r>
    </w:p>
    <w:p>
      <w:pPr>
        <w:pStyle w:val="Heading2"/>
        <w:spacing w:after="140" w:before="260"/>
      </w:pPr>
      <w:r>
        <w:rPr>
          <w:rFonts w:ascii="Times New Roman" w:cs="Times New Roman" w:eastAsia="Times New Roman" w:hAnsi="Times New Roman"/>
          <w:b/>
          <w:bCs/>
          <w:i/>
          <w:iCs/>
          <w:sz w:val="24"/>
          <w:szCs w:val="24"/>
        </w:rPr>
        <w:t xml:space="preserve">COMPAS and real-world stakes.</w:t>
      </w:r>
    </w:p>
    <w:p>
      <w:pPr>
        <w:spacing w:after="200" w:line="276"/>
        <w:jc w:val="both"/>
      </w:pPr>
      <w:r>
        <w:rPr>
          <w:rFonts w:ascii="Times New Roman" w:cs="Times New Roman" w:eastAsia="Times New Roman" w:hAnsi="Times New Roman"/>
          <w:i w:val="false"/>
          <w:iCs w:val="false"/>
          <w:sz w:val="24"/>
          <w:szCs w:val="24"/>
        </w:rPr>
        <w:t xml:space="preserve">The COMPAS recidivism risk tool became a central case study in algorithmic fairness after Angwin, Larson, Mattu, and Kirchner (2016) reported that Black defendants were substantially more likely to be incorrectly flagged as high risk than white defendants, despite similar overall accuracy across groups. That investigation was framed entirely in terms of group error rates; to our knowledge, the recourse cost implied by this same tool has not been examined directly.</w:t>
      </w:r>
    </w:p>
    <w:p>
      <w:pPr>
        <w:pStyle w:val="Heading2"/>
        <w:spacing w:after="140" w:before="260"/>
      </w:pPr>
      <w:r>
        <w:rPr>
          <w:rFonts w:ascii="Times New Roman" w:cs="Times New Roman" w:eastAsia="Times New Roman" w:hAnsi="Times New Roman"/>
          <w:b/>
          <w:bCs/>
          <w:i/>
          <w:iCs/>
          <w:sz w:val="24"/>
          <w:szCs w:val="24"/>
        </w:rPr>
        <w:t xml:space="preserve">This work.</w:t>
      </w:r>
    </w:p>
    <w:p>
      <w:pPr>
        <w:spacing w:after="200" w:line="276"/>
        <w:jc w:val="both"/>
      </w:pPr>
      <w:r>
        <w:rPr>
          <w:rFonts w:ascii="Times New Roman" w:cs="Times New Roman" w:eastAsia="Times New Roman" w:hAnsi="Times New Roman"/>
          <w:i w:val="false"/>
          <w:iCs w:val="false"/>
          <w:sz w:val="24"/>
          <w:szCs w:val="24"/>
        </w:rPr>
        <w:t xml:space="preserve">We are not aware of prior work that directly tests whether a standard, deployed-style bias mitigation pipeline, rather than a method purpose-built for recourse fairness, closes or preserves the recourse gap, across more than one decision domain. That is the gap this paper addresses.</w:t>
      </w:r>
    </w:p>
    <w:p>
      <w:pPr>
        <w:pStyle w:val="Heading1"/>
        <w:spacing w:after="160" w:before="360"/>
      </w:pPr>
      <w:r>
        <w:rPr>
          <w:rFonts w:ascii="Times New Roman" w:cs="Times New Roman" w:eastAsia="Times New Roman" w:hAnsi="Times New Roman"/>
          <w:b/>
          <w:bCs/>
          <w:sz w:val="27"/>
          <w:szCs w:val="27"/>
        </w:rPr>
        <w:t xml:space="preserve">3. Methods</w:t>
      </w:r>
    </w:p>
    <w:p>
      <w:pPr>
        <w:pStyle w:val="Heading2"/>
        <w:spacing w:after="140" w:before="260"/>
      </w:pPr>
      <w:r>
        <w:rPr>
          <w:rFonts w:ascii="Times New Roman" w:cs="Times New Roman" w:eastAsia="Times New Roman" w:hAnsi="Times New Roman"/>
          <w:b/>
          <w:bCs/>
          <w:i/>
          <w:iCs/>
          <w:sz w:val="24"/>
          <w:szCs w:val="24"/>
        </w:rPr>
        <w:t xml:space="preserve">3.1 Datasets</w:t>
      </w:r>
    </w:p>
    <w:p>
      <w:pPr>
        <w:spacing w:after="200" w:line="276"/>
        <w:jc w:val="both"/>
      </w:pPr>
      <w:r>
        <w:rPr>
          <w:rFonts w:ascii="Times New Roman" w:cs="Times New Roman" w:eastAsia="Times New Roman" w:hAnsi="Times New Roman"/>
          <w:i w:val="false"/>
          <w:iCs w:val="false"/>
          <w:sz w:val="24"/>
          <w:szCs w:val="24"/>
        </w:rPr>
        <w:t xml:space="preserve">We use two publicly available, widely studied datasets, chosen to represent different decision domains. Adult Census Income (Adult): 1994 U.S. Census data; task is predicting whether an individual's annual income exceeds $50,000; protected attribute is sex. COMPAS: ProPublica's recidivism risk data from Broward County, Florida; task is predicting two-year recidivism; protected attribute is race. Both accessed through the AI Fairness 360 (AIF360) toolkit (Bellamy et al., 2018). After preprocessing, Adult contained 45,222 instances (3,620 removed for missing data); COMPAS contained 6,167 (5 removed). An 80/20 train/test split was used for both.</w:t>
      </w:r>
    </w:p>
    <w:p>
      <w:pPr>
        <w:pStyle w:val="Heading2"/>
        <w:spacing w:after="140" w:before="260"/>
      </w:pPr>
      <w:r>
        <w:rPr>
          <w:rFonts w:ascii="Times New Roman" w:cs="Times New Roman" w:eastAsia="Times New Roman" w:hAnsi="Times New Roman"/>
          <w:b/>
          <w:bCs/>
          <w:i/>
          <w:iCs/>
          <w:sz w:val="24"/>
          <w:szCs w:val="24"/>
        </w:rPr>
        <w:t xml:space="preserve">3.2 Baseline Model</w:t>
      </w:r>
    </w:p>
    <w:p>
      <w:pPr>
        <w:spacing w:after="200" w:line="276"/>
        <w:jc w:val="both"/>
      </w:pPr>
      <w:r>
        <w:rPr>
          <w:rFonts w:ascii="Times New Roman" w:cs="Times New Roman" w:eastAsia="Times New Roman" w:hAnsi="Times New Roman"/>
          <w:i w:val="false"/>
          <w:iCs w:val="false"/>
          <w:sz w:val="24"/>
          <w:szCs w:val="24"/>
        </w:rPr>
        <w:t xml:space="preserve">For both datasets we train an L2-regularized logistic regression, with features standardized (zero mean, unit variance) before fitting; standardization was necessary for reliable optimizer convergence on Adult and keeps the margin calculation in Section 3.4 comparable across features of different raw scale. We choose a linear model deliberately: for a linear classifier, the distance from any point to the decision boundary has an exact closed form, avoiding the approximation error a nonlinear model would require. This is a scope decision, not an oversight; we return to it in Section 6.</w:t>
      </w:r>
    </w:p>
    <w:p>
      <w:pPr>
        <w:pStyle w:val="Heading2"/>
        <w:spacing w:after="140" w:before="260"/>
      </w:pPr>
      <w:r>
        <w:rPr>
          <w:rFonts w:ascii="Times New Roman" w:cs="Times New Roman" w:eastAsia="Times New Roman" w:hAnsi="Times New Roman"/>
          <w:b/>
          <w:bCs/>
          <w:i/>
          <w:iCs/>
          <w:sz w:val="24"/>
          <w:szCs w:val="24"/>
        </w:rPr>
        <w:t xml:space="preserve">3.3 Group Fairness Metric</w:t>
      </w:r>
    </w:p>
    <w:p>
      <w:pPr>
        <w:spacing w:after="200" w:line="276"/>
        <w:jc w:val="both"/>
      </w:pPr>
      <w:r>
        <w:rPr>
          <w:rFonts w:ascii="Times New Roman" w:cs="Times New Roman" w:eastAsia="Times New Roman" w:hAnsi="Times New Roman"/>
          <w:i w:val="false"/>
          <w:iCs w:val="false"/>
          <w:sz w:val="24"/>
          <w:szCs w:val="24"/>
        </w:rPr>
        <w:t xml:space="preserve">We report statistical parity difference (the gap in favorable-prediction rate between groups) and average odds difference (the average of the true- and false-positive-rate gaps between groups), computed with AIF360's ClassificationMetric module. A value of zero indicates parity.</w:t>
      </w:r>
    </w:p>
    <w:p>
      <w:pPr>
        <w:pStyle w:val="Heading2"/>
        <w:spacing w:after="140" w:before="260"/>
      </w:pPr>
      <w:r>
        <w:rPr>
          <w:rFonts w:ascii="Times New Roman" w:cs="Times New Roman" w:eastAsia="Times New Roman" w:hAnsi="Times New Roman"/>
          <w:b/>
          <w:bCs/>
          <w:i/>
          <w:iCs/>
          <w:sz w:val="24"/>
          <w:szCs w:val="24"/>
        </w:rPr>
        <w:t xml:space="preserve">3.4 Recourse (Margin) Fairness Metric</w:t>
      </w:r>
    </w:p>
    <w:p>
      <w:pPr>
        <w:spacing w:after="200" w:line="276"/>
        <w:jc w:val="both"/>
      </w:pPr>
      <w:r>
        <w:rPr>
          <w:rFonts w:ascii="Times New Roman" w:cs="Times New Roman" w:eastAsia="Times New Roman" w:hAnsi="Times New Roman"/>
          <w:i w:val="false"/>
          <w:iCs w:val="false"/>
          <w:sz w:val="24"/>
          <w:szCs w:val="24"/>
        </w:rPr>
        <w:t xml:space="preserve">For a linear classifier with weight vector w and bias b, the signed distance from an instance x to the decision boundary is margin(x) = (w · x + b) / ‖w‖₂. We compute this for every unfavorably predicted instance in the test set, take its absolute value as that individual's recourse cost, and compare the distribution between protected groups. We do not condition on whether the prediction was correct: recourse is a property of what the deployed model asks of an individual, independent of whether that prediction matches the true label, and restricting to correct predictions would exclude false negatives, the cases a fairness analysis should be most concerned with.</w:t>
      </w:r>
    </w:p>
    <w:p>
      <w:pPr>
        <w:pStyle w:val="Heading2"/>
        <w:spacing w:after="140" w:before="260"/>
      </w:pPr>
      <w:r>
        <w:rPr>
          <w:rFonts w:ascii="Times New Roman" w:cs="Times New Roman" w:eastAsia="Times New Roman" w:hAnsi="Times New Roman"/>
          <w:b/>
          <w:bCs/>
          <w:i/>
          <w:iCs/>
          <w:sz w:val="24"/>
          <w:szCs w:val="24"/>
        </w:rPr>
        <w:t xml:space="preserve">3.5 Bias Mitigation Methods</w:t>
      </w:r>
    </w:p>
    <w:p>
      <w:pPr>
        <w:spacing w:after="200" w:line="276"/>
        <w:jc w:val="both"/>
      </w:pPr>
      <w:r>
        <w:rPr>
          <w:rFonts w:ascii="Times New Roman" w:cs="Times New Roman" w:eastAsia="Times New Roman" w:hAnsi="Times New Roman"/>
          <w:i w:val="false"/>
          <w:iCs w:val="false"/>
          <w:sz w:val="24"/>
          <w:szCs w:val="24"/>
        </w:rPr>
        <w:t xml:space="preserve">Reweighing (Kamiran &amp; Calders, 2012) is a pre-processing method that reweights training instances by group and label combination before the classifier is trained. Our second method is an in-processing fairness-regularized logistic regression, implemented directly rather than using AIF360's PrejudiceRemover: that implementation wraps an external 2012 reference codebase as a subprocess and does not expose its fitted weights, making the margin in Section 3.4 impossible to compute from it. Our version follows the same underlying idea, penalizing correlation between the protected attribute and the model's raw decision score during training, added directly to the logistic loss and optimized with L-BFGS-B using an analytic gradient. Both methods preserve a linear decision function, keeping the margin calculation directly comparable before and after intervention. The regularization strength was fixed at the same value across both datasets for comparability rather than tuned per dataset; see Section 6.</w:t>
      </w:r>
    </w:p>
    <w:p>
      <w:pPr>
        <w:pStyle w:val="Heading2"/>
        <w:spacing w:after="140" w:before="260"/>
      </w:pPr>
      <w:r>
        <w:rPr>
          <w:rFonts w:ascii="Times New Roman" w:cs="Times New Roman" w:eastAsia="Times New Roman" w:hAnsi="Times New Roman"/>
          <w:b/>
          <w:bCs/>
          <w:i/>
          <w:iCs/>
          <w:sz w:val="24"/>
          <w:szCs w:val="24"/>
        </w:rPr>
        <w:t xml:space="preserve">3.6 Statistical Testing</w:t>
      </w:r>
    </w:p>
    <w:p>
      <w:pPr>
        <w:spacing w:after="200" w:line="276"/>
        <w:jc w:val="both"/>
      </w:pPr>
      <w:r>
        <w:rPr>
          <w:rFonts w:ascii="Times New Roman" w:cs="Times New Roman" w:eastAsia="Times New Roman" w:hAnsi="Times New Roman"/>
          <w:i w:val="false"/>
          <w:iCs w:val="false"/>
          <w:sz w:val="24"/>
          <w:szCs w:val="24"/>
        </w:rPr>
        <w:t xml:space="preserve">Because margin values are not guaranteed to be normally distributed, and were confirmed non-normal by Shapiro-Wilk testing on both datasets, we use the Mann-Whitney U test throughout, reporting the p-value and rank-biserial correlation (r) as effect size, at α = 0.05.</w:t>
      </w:r>
    </w:p>
    <w:p>
      <w:pPr>
        <w:pStyle w:val="Heading1"/>
        <w:spacing w:after="160" w:before="360"/>
      </w:pPr>
      <w:r>
        <w:rPr>
          <w:rFonts w:ascii="Times New Roman" w:cs="Times New Roman" w:eastAsia="Times New Roman" w:hAnsi="Times New Roman"/>
          <w:b/>
          <w:bCs/>
          <w:sz w:val="27"/>
          <w:szCs w:val="27"/>
        </w:rPr>
        <w:t xml:space="preserve">4. Results</w:t>
      </w:r>
    </w:p>
    <w:p>
      <w:pPr>
        <w:spacing w:after="200" w:line="276"/>
        <w:jc w:val="both"/>
      </w:pPr>
      <w:r>
        <w:rPr>
          <w:rFonts w:ascii="Times New Roman" w:cs="Times New Roman" w:eastAsia="Times New Roman" w:hAnsi="Times New Roman"/>
          <w:i w:val="false"/>
          <w:iCs w:val="false"/>
          <w:sz w:val="24"/>
          <w:szCs w:val="24"/>
        </w:rPr>
        <w:t xml:space="preserve">Results are reported separately for each dataset, followed by a comparison across both.</w:t>
      </w:r>
    </w:p>
    <w:p>
      <w:pPr>
        <w:pStyle w:val="Heading2"/>
        <w:spacing w:after="140" w:before="260"/>
      </w:pPr>
      <w:r>
        <w:rPr>
          <w:rFonts w:ascii="Times New Roman" w:cs="Times New Roman" w:eastAsia="Times New Roman" w:hAnsi="Times New Roman"/>
          <w:b/>
          <w:bCs/>
          <w:i/>
          <w:iCs/>
          <w:sz w:val="24"/>
          <w:szCs w:val="24"/>
        </w:rPr>
        <w:t xml:space="preserve">4.1 Adult Income</w:t>
      </w:r>
    </w:p>
    <w:p>
      <w:pPr>
        <w:spacing w:after="240" w:before="120"/>
      </w:pPr>
      <w:r>
        <w:rPr>
          <w:rFonts w:ascii="Times New Roman" w:cs="Times New Roman" w:eastAsia="Times New Roman" w:hAnsi="Times New Roman"/>
          <w:i/>
          <w:iCs/>
          <w:sz w:val="20"/>
          <w:szCs w:val="20"/>
        </w:rPr>
        <w:t xml:space="preserve">Table 1. Group fairness metrics before and after each intervention (Adult).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1960"/>
      </w:tblGrid>
      <w:tr>
        <w:tc>
          <w:tcPr>
            <w:tcW w:type="dxa" w:w="240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50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Statistical Parity Diff.</w:t>
            </w:r>
          </w:p>
        </w:tc>
        <w:tc>
          <w:tcPr>
            <w:tcW w:type="dxa" w:w="250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Average Odds Diff.</w:t>
            </w:r>
          </w:p>
        </w:tc>
        <w:tc>
          <w:tcPr>
            <w:tcW w:type="dxa" w:w="196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Accuracy</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Baseline</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-0.1821</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-0.0955</w:t>
            </w:r>
          </w:p>
        </w:tc>
        <w:tc>
          <w:tcPr>
            <w:tcW w:type="dxa" w:w="19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0.8469</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Reweighing</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-0.0781</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0.0745</w:t>
            </w:r>
          </w:p>
        </w:tc>
        <w:tc>
          <w:tcPr>
            <w:tcW w:type="dxa" w:w="19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0.8404</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Fairness-regularized LR</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-0.0830</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0.0660</w:t>
            </w:r>
          </w:p>
        </w:tc>
        <w:tc>
          <w:tcPr>
            <w:tcW w:type="dxa" w:w="19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0.8392</w:t>
            </w:r>
          </w:p>
        </w:tc>
      </w:tr>
    </w:tbl>
    <w:p>
      <w:pPr>
        <w:spacing w:after="240"/>
      </w:pPr>
      <w:r>
        <w:t xml:space="preserve"/>
      </w:r>
    </w:p>
    <w:p>
      <w:pPr>
        <w:spacing w:after="240" w:before="120"/>
      </w:pPr>
      <w:r>
        <w:rPr>
          <w:rFonts w:ascii="Times New Roman" w:cs="Times New Roman" w:eastAsia="Times New Roman" w:hAnsi="Times New Roman"/>
          <w:i/>
          <w:iCs/>
          <w:sz w:val="20"/>
          <w:szCs w:val="20"/>
        </w:rPr>
        <w:t xml:space="preserve">Table 2. Recourse (margin) statistics by group, before and after each intervention (Adult).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1900"/>
        <w:gridCol w:w="980"/>
      </w:tblGrid>
      <w:tr>
        <w:tc>
          <w:tcPr>
            <w:tcW w:type="dxa" w:w="216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16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Mean Margin (Priv.)</w:t>
            </w:r>
          </w:p>
        </w:tc>
        <w:tc>
          <w:tcPr>
            <w:tcW w:type="dxa" w:w="216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Mean Margin (Unpriv.)</w:t>
            </w:r>
          </w:p>
        </w:tc>
        <w:tc>
          <w:tcPr>
            <w:tcW w:type="dxa" w:w="190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Mann-Whitney p</w:t>
            </w:r>
          </w:p>
        </w:tc>
        <w:tc>
          <w:tcPr>
            <w:tcW w:type="dxa" w:w="98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r</w:t>
            </w:r>
          </w:p>
        </w:tc>
      </w:tr>
      <w:tr>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Baseline</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0.9016</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1.4568</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0.000000</w:t>
            </w:r>
          </w:p>
        </w:tc>
        <w:tc>
          <w:tcPr>
            <w:tcW w:type="dxa" w:w="98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0.4543</w:t>
            </w:r>
          </w:p>
        </w:tc>
      </w:tr>
      <w:tr>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Reweighing</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0.9545</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1.2008</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0.000000</w:t>
            </w:r>
          </w:p>
        </w:tc>
        <w:tc>
          <w:tcPr>
            <w:tcW w:type="dxa" w:w="98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0.2460</w:t>
            </w:r>
          </w:p>
        </w:tc>
      </w:tr>
      <w:tr>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Fairness-regularized LR</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1.2902</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1.1304</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0.000389</w:t>
            </w:r>
          </w:p>
        </w:tc>
        <w:tc>
          <w:tcPr>
            <w:tcW w:type="dxa" w:w="98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-0.0502</w:t>
            </w:r>
          </w:p>
        </w:tc>
      </w:tr>
    </w:tbl>
    <w:p>
      <w:pPr>
        <w:spacing w:after="200" w:line="276"/>
      </w:pPr>
      <w:r>
        <w:rPr>
          <w:rFonts w:ascii="Times New Roman" w:cs="Times New Roman" w:eastAsia="Times New Roman" w:hAnsi="Times New Roman"/>
          <w:i/>
          <w:iCs/>
          <w:color w:val="555555"/>
          <w:sz w:val="24"/>
          <w:szCs w:val="24"/>
        </w:rPr>
        <w:t xml:space="preserve">[1–2 paragraphs interpreting Tables 1 and 2: both methods improve group fairness substantially; Reweighing shrinks the recourse gap without closing it; the fairness-regularized method not only shrinks it but reverses which group faces harder recourse, while AOD also flips sign (-0.0955 → +0.0660). Say what you think that reversal means.]</w:t>
      </w:r>
    </w:p>
    <w:p>
      <w:pPr>
        <w:pStyle w:val="Heading2"/>
        <w:spacing w:after="140" w:before="260"/>
      </w:pPr>
      <w:r>
        <w:rPr>
          <w:rFonts w:ascii="Times New Roman" w:cs="Times New Roman" w:eastAsia="Times New Roman" w:hAnsi="Times New Roman"/>
          <w:b/>
          <w:bCs/>
          <w:i/>
          <w:iCs/>
          <w:sz w:val="24"/>
          <w:szCs w:val="24"/>
        </w:rPr>
        <w:t xml:space="preserve">4.2 COMPAS</w:t>
      </w:r>
    </w:p>
    <w:p>
      <w:pPr>
        <w:spacing w:after="240" w:before="120"/>
      </w:pPr>
      <w:r>
        <w:rPr>
          <w:rFonts w:ascii="Times New Roman" w:cs="Times New Roman" w:eastAsia="Times New Roman" w:hAnsi="Times New Roman"/>
          <w:i/>
          <w:iCs/>
          <w:sz w:val="20"/>
          <w:szCs w:val="20"/>
        </w:rPr>
        <w:t xml:space="preserve">Table 3. Group fairness metrics before and after each intervention (COMPAS).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1960"/>
      </w:tblGrid>
      <w:tr>
        <w:tc>
          <w:tcPr>
            <w:tcW w:type="dxa" w:w="240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50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Statistical Parity Diff.</w:t>
            </w:r>
          </w:p>
        </w:tc>
        <w:tc>
          <w:tcPr>
            <w:tcW w:type="dxa" w:w="250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Average Odds Diff.</w:t>
            </w:r>
          </w:p>
        </w:tc>
        <w:tc>
          <w:tcPr>
            <w:tcW w:type="dxa" w:w="196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Accuracy</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Baseline</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-0.1699</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-0.1497</w:t>
            </w:r>
          </w:p>
        </w:tc>
        <w:tc>
          <w:tcPr>
            <w:tcW w:type="dxa" w:w="19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0.6613</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Reweighing</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0.0015</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0.0273</w:t>
            </w:r>
          </w:p>
        </w:tc>
        <w:tc>
          <w:tcPr>
            <w:tcW w:type="dxa" w:w="19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0.6491</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Fairness-regularized LR</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-0.0636</w:t>
            </w:r>
          </w:p>
        </w:tc>
        <w:tc>
          <w:tcPr>
            <w:tcW w:type="dxa" w:w="25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-0.0381</w:t>
            </w:r>
          </w:p>
        </w:tc>
        <w:tc>
          <w:tcPr>
            <w:tcW w:type="dxa" w:w="19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0.6572</w:t>
            </w:r>
          </w:p>
        </w:tc>
      </w:tr>
    </w:tbl>
    <w:p>
      <w:pPr>
        <w:spacing w:after="240"/>
      </w:pPr>
      <w:r>
        <w:t xml:space="preserve"/>
      </w:r>
    </w:p>
    <w:p>
      <w:pPr>
        <w:spacing w:after="240" w:before="120"/>
      </w:pPr>
      <w:r>
        <w:rPr>
          <w:rFonts w:ascii="Times New Roman" w:cs="Times New Roman" w:eastAsia="Times New Roman" w:hAnsi="Times New Roman"/>
          <w:i/>
          <w:iCs/>
          <w:sz w:val="20"/>
          <w:szCs w:val="20"/>
        </w:rPr>
        <w:t xml:space="preserve">Table 4. Recourse (margin) statistics by group, before and after each intervention (COMPAS).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1900"/>
        <w:gridCol w:w="980"/>
      </w:tblGrid>
      <w:tr>
        <w:tc>
          <w:tcPr>
            <w:tcW w:type="dxa" w:w="216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16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Mean Margin (Priv.)</w:t>
            </w:r>
          </w:p>
        </w:tc>
        <w:tc>
          <w:tcPr>
            <w:tcW w:type="dxa" w:w="216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Mean Margin (Unpriv.)</w:t>
            </w:r>
          </w:p>
        </w:tc>
        <w:tc>
          <w:tcPr>
            <w:tcW w:type="dxa" w:w="190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Mann-Whitney p</w:t>
            </w:r>
          </w:p>
        </w:tc>
        <w:tc>
          <w:tcPr>
            <w:tcW w:type="dxa" w:w="980"/>
            <w:tcBorders>
              <w:top w:val="single" w:color="999999" w:sz="2"/>
              <w:left w:val="single" w:color="999999" w:sz="2"/>
              <w:bottom w:val="single" w:color="999999" w:sz="2"/>
              <w:right w:val="single" w:color="999999" w:sz="2"/>
            </w:tcBorders>
            <w:shd w:fill="E7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r</w:t>
            </w:r>
          </w:p>
        </w:tc>
      </w:tr>
      <w:tr>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Baseline</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0.6520</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0.6032</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0.853559</w:t>
            </w:r>
          </w:p>
        </w:tc>
        <w:tc>
          <w:tcPr>
            <w:tcW w:type="dxa" w:w="98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0.0116</w:t>
            </w:r>
          </w:p>
        </w:tc>
      </w:tr>
      <w:tr>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Reweighing</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0.5750</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0.6248</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0.154449</w:t>
            </w:r>
          </w:p>
        </w:tc>
        <w:tc>
          <w:tcPr>
            <w:tcW w:type="dxa" w:w="98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0.0807</w:t>
            </w:r>
          </w:p>
        </w:tc>
      </w:tr>
      <w:tr>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Fairness-regularized LR</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0.5582</w:t>
            </w:r>
          </w:p>
        </w:tc>
        <w:tc>
          <w:tcPr>
            <w:tcW w:type="dxa" w:w="216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0.5639</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0.198661</w:t>
            </w:r>
          </w:p>
        </w:tc>
        <w:tc>
          <w:tcPr>
            <w:tcW w:type="dxa" w:w="98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0.0762</w:t>
            </w:r>
          </w:p>
        </w:tc>
      </w:tr>
    </w:tbl>
    <w:p>
      <w:pPr>
        <w:spacing w:after="200" w:line="276"/>
      </w:pPr>
      <w:r>
        <w:rPr>
          <w:rFonts w:ascii="Times New Roman" w:cs="Times New Roman" w:eastAsia="Times New Roman" w:hAnsi="Times New Roman"/>
          <w:i/>
          <w:iCs/>
          <w:color w:val="555555"/>
          <w:sz w:val="24"/>
          <w:szCs w:val="24"/>
        </w:rPr>
        <w:t xml:space="preserve">[1–2 paragraphs interpreting Tables 3 and 4: no recourse gap was ever significant on COMPAS, before or after either intervention, even as Reweighing achieved near-perfect statistical parity (SPD 0.0015). Say what that contrast with Adult suggests.]</w:t>
      </w:r>
    </w:p>
    <w:p>
      <w:pPr>
        <w:pStyle w:val="Heading2"/>
        <w:spacing w:after="140" w:before="260"/>
      </w:pPr>
      <w:r>
        <w:rPr>
          <w:rFonts w:ascii="Times New Roman" w:cs="Times New Roman" w:eastAsia="Times New Roman" w:hAnsi="Times New Roman"/>
          <w:b/>
          <w:bCs/>
          <w:i/>
          <w:iCs/>
          <w:sz w:val="24"/>
          <w:szCs w:val="24"/>
        </w:rPr>
        <w:t xml:space="preserve">4.3 Cross-Dataset Comparison</w:t>
      </w:r>
    </w:p>
    <w:p>
      <w:pPr>
        <w:spacing w:after="200" w:line="276"/>
      </w:pPr>
      <w:r>
        <w:rPr>
          <w:rFonts w:ascii="Times New Roman" w:cs="Times New Roman" w:eastAsia="Times New Roman" w:hAnsi="Times New Roman"/>
          <w:i/>
          <w:iCs/>
          <w:color w:val="555555"/>
          <w:sz w:val="24"/>
          <w:szCs w:val="24"/>
        </w:rPr>
        <w:t xml:space="preserve">[Figure 1 (effect size by method and dataset) goes here. The pattern: Adult's effect size declines steadily and crosses zero (0.4543 → 0.2460 → -0.0502); COMPAS's stays small and roughly flat throughout (0.0116 → 0.0807 → 0.0762). Write out what you think this means for whether "fixing" group fairness can be trusted to fix recourse fairness, and whether that answer depends on how large the original gap was.]</w:t>
      </w:r>
    </w:p>
    <w:p>
      <w:pPr>
        <w:pStyle w:val="Heading1"/>
        <w:spacing w:after="160" w:before="360"/>
      </w:pPr>
      <w:r>
        <w:rPr>
          <w:rFonts w:ascii="Times New Roman" w:cs="Times New Roman" w:eastAsia="Times New Roman" w:hAnsi="Times New Roman"/>
          <w:b/>
          <w:bCs/>
          <w:sz w:val="27"/>
          <w:szCs w:val="27"/>
        </w:rPr>
        <w:t xml:space="preserve">5. Discussion</w:t>
      </w:r>
    </w:p>
    <w:p>
      <w:pPr>
        <w:spacing w:after="200" w:line="276"/>
        <w:jc w:val="both"/>
      </w:pPr>
      <w:r>
        <w:rPr>
          <w:rFonts w:ascii="Times New Roman" w:cs="Times New Roman" w:eastAsia="Times New Roman" w:hAnsi="Times New Roman"/>
          <w:i w:val="false"/>
          <w:iCs w:val="false"/>
          <w:sz w:val="24"/>
          <w:szCs w:val="24"/>
        </w:rPr>
        <w:t xml:space="preserve">The central question of this paper is whether standard bias mitigation, aimed at group fairness, also addresses recourse fairness. Our results point to a domain-dependent answer, not a uniform one.</w:t>
      </w:r>
    </w:p>
    <w:p>
      <w:pPr>
        <w:spacing w:after="200" w:line="276"/>
      </w:pPr>
      <w:r>
        <w:rPr>
          <w:rFonts w:ascii="Times New Roman" w:cs="Times New Roman" w:eastAsia="Times New Roman" w:hAnsi="Times New Roman"/>
          <w:i/>
          <w:iCs/>
          <w:color w:val="555555"/>
          <w:sz w:val="24"/>
          <w:szCs w:val="24"/>
        </w:rPr>
        <w:t xml:space="preserve">[Write this section from Tables 1–4 and Figure 1. Two threads worth developing: (1) on Adult, both methods pushed the recourse gap toward and past zero, with AOD flipping sign both times, suggesting a genuine overcorrection risk when a fixed-strength intervention meets a large baseline gap; (2) on COMPAS, where no real baseline gap existed, neither method disturbed anything, group fairness improved (sharply, for Reweighing) with no measurable effect on recourse either way. Consider what this implies for how fairness audits are currently designed, whether recourse-aware metrics should be reported alongside standard ones, and what a practitioner should watch for when a mitigation technique is applied to a system with a large known disparity.]</w:t>
      </w:r>
    </w:p>
    <w:p>
      <w:pPr>
        <w:pStyle w:val="Heading1"/>
        <w:spacing w:after="160" w:before="360"/>
      </w:pPr>
      <w:r>
        <w:rPr>
          <w:rFonts w:ascii="Times New Roman" w:cs="Times New Roman" w:eastAsia="Times New Roman" w:hAnsi="Times New Roman"/>
          <w:b/>
          <w:bCs/>
          <w:sz w:val="27"/>
          <w:szCs w:val="27"/>
        </w:rPr>
        <w:t xml:space="preserve">6. Limitations</w:t>
      </w:r>
    </w:p>
    <w:p>
      <w:pPr>
        <w:spacing w:after="200" w:line="276"/>
        <w:jc w:val="both"/>
      </w:pPr>
      <w:r>
        <w:rPr>
          <w:rFonts w:ascii="Times New Roman" w:cs="Times New Roman" w:eastAsia="Times New Roman" w:hAnsi="Times New Roman"/>
          <w:i w:val="false"/>
          <w:iCs w:val="false"/>
          <w:sz w:val="24"/>
          <w:szCs w:val="24"/>
        </w:rPr>
        <w:t xml:space="preserve">This study has several scope limitations, chosen deliberately to keep the recourse measure exact rather than approximated, but worth stating plainly. First, we restrict our classifiers to linear models so that the margin in Section 3.4 has a closed form; the same question for nonlinear models, far more common in deployed systems, would require an approximate recourse measure and might show a different pattern. Second, we test two datasets and two mitigation techniques; a broader claim would require testing across more datasets, more protected attributes, and a fuller range of mitigation methods. Third, our recourse measure treats all features as equally easy to change, when in practice some are not actionable at all (age) and others are far easier to change than others; cost-weighted recourse measures exist in prior work and are not implemented here. Fourth, we use a single protected attribute per dataset; intersectional analysis was outside this project's scope. Fifth, and directly motivated by our own results: the fairness-regularized method's regularization strength was fixed at one value across both datasets for a fair comparison, rather than tuned separately for each. Because Adult's baseline gap was substantially larger than COMPAS's, the same fixed correction strength may have been appropriately sized for one dataset and too strong for the other, which could explain why overcorrection appeared on Adult but not COMPAS. Disentangling "overcorrection is inherent to this class of method" from "overcorrection is an artifact of an untuned hyperparameter" would require a per-dataset sensitivity sweep, which we did not run.</w:t>
      </w:r>
    </w:p>
    <w:p>
      <w:pPr>
        <w:pStyle w:val="Heading1"/>
        <w:spacing w:after="160" w:before="360"/>
      </w:pPr>
      <w:r>
        <w:rPr>
          <w:rFonts w:ascii="Times New Roman" w:cs="Times New Roman" w:eastAsia="Times New Roman" w:hAnsi="Times New Roman"/>
          <w:b/>
          <w:bCs/>
          <w:sz w:val="27"/>
          <w:szCs w:val="27"/>
        </w:rPr>
        <w:t xml:space="preserve">7. Conclusion</w:t>
      </w:r>
    </w:p>
    <w:p>
      <w:pPr>
        <w:spacing w:after="200" w:line="276"/>
      </w:pPr>
      <w:r>
        <w:rPr>
          <w:rFonts w:ascii="Times New Roman" w:cs="Times New Roman" w:eastAsia="Times New Roman" w:hAnsi="Times New Roman"/>
          <w:i/>
          <w:iCs/>
          <w:color w:val="555555"/>
          <w:sz w:val="24"/>
          <w:szCs w:val="24"/>
        </w:rPr>
        <w:t xml:space="preserve">[One paragraph: restate the question, state the finding plainly (domain-dependent: no effect on COMPAS, overcorrection on Adult), state the practical implication, and close with the clearest next step, e.g. a lambda sensitivity sweep, or extending the recourse measure to nonlinear models.]</w:t>
      </w:r>
    </w:p>
    <w:p>
      <w:pPr>
        <w:pStyle w:val="Heading1"/>
        <w:spacing w:after="160" w:before="360"/>
      </w:pPr>
      <w:r>
        <w:rPr>
          <w:rFonts w:ascii="Times New Roman" w:cs="Times New Roman" w:eastAsia="Times New Roman" w:hAnsi="Times New Roman"/>
          <w:b/>
          <w:bCs/>
          <w:sz w:val="27"/>
          <w:szCs w:val="27"/>
        </w:rPr>
        <w:t xml:space="preserve">References</w:t>
      </w:r>
    </w:p>
    <w:p>
      <w:pPr>
        <w:spacing w:after="160" w:line="276"/>
        <w:ind w:left="720" w:hanging="720"/>
      </w:pPr>
      <w:r>
        <w:rPr>
          <w:rFonts w:ascii="Times New Roman" w:cs="Times New Roman" w:eastAsia="Times New Roman" w:hAnsi="Times New Roman"/>
          <w:sz w:val="22"/>
          <w:szCs w:val="22"/>
        </w:rPr>
        <w:t xml:space="preserve">Angwin, J., Larson, J., Mattu, S., &amp; Kirchner, L. (2016). Machine Bias. ProPublica.</w:t>
      </w:r>
    </w:p>
    <w:p>
      <w:pPr>
        <w:spacing w:after="160" w:line="276"/>
        <w:ind w:left="720" w:hanging="720"/>
      </w:pPr>
      <w:r>
        <w:rPr>
          <w:rFonts w:ascii="Times New Roman" w:cs="Times New Roman" w:eastAsia="Times New Roman" w:hAnsi="Times New Roman"/>
          <w:sz w:val="22"/>
          <w:szCs w:val="22"/>
        </w:rPr>
        <w:t xml:space="preserve">Bellamy, R. K. E., Dey, K., Hind, M., Hoffman, S. C., Houde, S., Kannan, K., Lohia, P., Martino, J., Mehta, S., Mojsilović, A., Nagar, S., Ramamurthy, K. N., Richards, J., Saha, D., Sattigeri, P., Singh, M., Varshney, K. R., &amp; Zhang, Y. (2018). AI Fairness 360: An extensible toolkit for detecting, understanding, and mitigating unwanted algorithmic bias. arXiv:1810.01943.</w:t>
      </w:r>
    </w:p>
    <w:p>
      <w:pPr>
        <w:spacing w:after="160" w:line="276"/>
        <w:ind w:left="720" w:hanging="720"/>
      </w:pPr>
      <w:r>
        <w:rPr>
          <w:rFonts w:ascii="Times New Roman" w:cs="Times New Roman" w:eastAsia="Times New Roman" w:hAnsi="Times New Roman"/>
          <w:sz w:val="22"/>
          <w:szCs w:val="22"/>
        </w:rPr>
        <w:t xml:space="preserve">Gupta, V., Nokhiz, P., Roy, C. D., &amp; Venkatasubramanian, S. (2019). Equalizing recourse across groups. arXiv:1909.03166.</w:t>
      </w:r>
    </w:p>
    <w:p>
      <w:pPr>
        <w:spacing w:after="160" w:line="276"/>
        <w:ind w:left="720" w:hanging="720"/>
      </w:pPr>
      <w:r>
        <w:rPr>
          <w:rFonts w:ascii="Times New Roman" w:cs="Times New Roman" w:eastAsia="Times New Roman" w:hAnsi="Times New Roman"/>
          <w:sz w:val="22"/>
          <w:szCs w:val="22"/>
        </w:rPr>
        <w:t xml:space="preserve">Hardt, M., Price, E., &amp; Srebro, N. (2016). Equality of opportunity in supervised learning. Advances in Neural Information Processing Systems (NeurIPS).</w:t>
      </w:r>
    </w:p>
    <w:p>
      <w:pPr>
        <w:spacing w:after="160" w:line="276"/>
        <w:ind w:left="720" w:hanging="720"/>
      </w:pPr>
      <w:r>
        <w:rPr>
          <w:rFonts w:ascii="Times New Roman" w:cs="Times New Roman" w:eastAsia="Times New Roman" w:hAnsi="Times New Roman"/>
          <w:sz w:val="22"/>
          <w:szCs w:val="22"/>
        </w:rPr>
        <w:t xml:space="preserve">Kamiran, F., &amp; Calders, T. (2012). Data preprocessing techniques for classification without discrimination. Knowledge and Information Systems, 33(1), 1–33.</w:t>
      </w:r>
    </w:p>
    <w:p>
      <w:pPr>
        <w:spacing w:after="160" w:line="276"/>
        <w:ind w:left="720" w:hanging="720"/>
      </w:pPr>
      <w:r>
        <w:rPr>
          <w:rFonts w:ascii="Times New Roman" w:cs="Times New Roman" w:eastAsia="Times New Roman" w:hAnsi="Times New Roman"/>
          <w:sz w:val="22"/>
          <w:szCs w:val="22"/>
        </w:rPr>
        <w:t xml:space="preserve">Ustun, B., Spangher, A., &amp; Liu, Y. (2019). Actionable recourse in linear classification. Proceedings of the ACM Conference on Fairness, Accountability, and Transparency (FAccT).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2026-09-24T15:01:17.954Z</dcterms:created>
  <dcterms:modified xsi:type="dcterms:W3CDTF">2026-09-24T15:01:17.966Z</dcterms:modified>
</cp:coreProperties>
</file>

<file path=docProps/custom.xml><?xml version="1.0" encoding="utf-8"?>
<Properties xmlns="http://schemas.openxmlformats.org/officeDocument/2006/custom-properties" xmlns:vt="http://schemas.openxmlformats.org/officeDocument/2006/docPropsVTypes"/>
</file>