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F5D2" w14:textId="77777777" w:rsidR="00630DC1" w:rsidRDefault="00000000">
      <w:pPr>
        <w:jc w:val="center"/>
        <w:rPr>
          <w:b/>
          <w:bCs/>
          <w:sz w:val="34"/>
          <w:szCs w:val="34"/>
        </w:rPr>
      </w:pPr>
      <w:r>
        <w:rPr>
          <w:b/>
          <w:bCs/>
          <w:sz w:val="34"/>
          <w:szCs w:val="34"/>
        </w:rPr>
        <w:t xml:space="preserve">  SIMATS ENGINEERING</w:t>
      </w:r>
    </w:p>
    <w:p w14:paraId="76764BDB" w14:textId="4F534752" w:rsidR="00630DC1" w:rsidRDefault="00000000">
      <w:pPr>
        <w:jc w:val="center"/>
        <w:rPr>
          <w:b/>
          <w:bCs/>
          <w:sz w:val="28"/>
          <w:szCs w:val="28"/>
        </w:rPr>
      </w:pPr>
      <w:r>
        <w:rPr>
          <w:b/>
          <w:bCs/>
          <w:sz w:val="28"/>
          <w:szCs w:val="28"/>
        </w:rPr>
        <w:t xml:space="preserve">ASSESSMENT TOOL </w:t>
      </w:r>
      <w:r w:rsidR="00020B91">
        <w:rPr>
          <w:b/>
          <w:bCs/>
          <w:sz w:val="28"/>
          <w:szCs w:val="28"/>
        </w:rPr>
        <w:t>3</w:t>
      </w:r>
    </w:p>
    <w:p w14:paraId="33491735" w14:textId="77777777" w:rsidR="00630DC1" w:rsidRDefault="00630DC1">
      <w:pPr>
        <w:jc w:val="center"/>
        <w:rPr>
          <w:b/>
          <w:bCs/>
          <w:sz w:val="34"/>
          <w:szCs w:val="34"/>
        </w:rPr>
      </w:pPr>
    </w:p>
    <w:p w14:paraId="160C0F78" w14:textId="77777777" w:rsidR="00630DC1" w:rsidRDefault="00630DC1">
      <w:pPr>
        <w:jc w:val="center"/>
        <w:rPr>
          <w:b/>
          <w:bCs/>
          <w:sz w:val="34"/>
          <w:szCs w:val="34"/>
        </w:rPr>
      </w:pPr>
    </w:p>
    <w:p w14:paraId="67BA1F72" w14:textId="2141CC98" w:rsidR="00630DC1" w:rsidRDefault="00000000">
      <w:pPr>
        <w:rPr>
          <w:b/>
          <w:bCs/>
        </w:rPr>
      </w:pPr>
      <w:r>
        <w:rPr>
          <w:rFonts w:ascii="Arial" w:eastAsia="Arial" w:hAnsi="Arial" w:cs="Arial"/>
          <w:b/>
          <w:bCs/>
        </w:rPr>
        <w:t xml:space="preserve">COURSE </w:t>
      </w:r>
      <w:r w:rsidR="00F95F49">
        <w:rPr>
          <w:rFonts w:ascii="Arial" w:eastAsia="Arial" w:hAnsi="Arial" w:cs="Arial"/>
          <w:b/>
          <w:bCs/>
        </w:rPr>
        <w:t>CODE</w:t>
      </w:r>
      <w:r>
        <w:rPr>
          <w:rFonts w:ascii="Arial" w:eastAsia="Arial" w:hAnsi="Arial" w:cs="Arial"/>
          <w:b/>
          <w:bCs/>
        </w:rPr>
        <w:t>:</w:t>
      </w:r>
      <w:r>
        <w:rPr>
          <w:rFonts w:ascii="Arial" w:eastAsia="Arial" w:hAnsi="Arial" w:cs="Arial"/>
          <w:b/>
          <w:bCs/>
        </w:rPr>
        <w:tab/>
      </w:r>
      <w:r>
        <w:rPr>
          <w:b/>
          <w:bCs/>
        </w:rPr>
        <w:t>MLA03</w:t>
      </w:r>
    </w:p>
    <w:p w14:paraId="6A5542BC" w14:textId="6ADBDD0D" w:rsidR="00630DC1" w:rsidRDefault="00000000">
      <w:pPr>
        <w:rPr>
          <w:rFonts w:ascii="Arial" w:eastAsia="Arial" w:hAnsi="Arial" w:cs="Arial"/>
          <w:b/>
          <w:bCs/>
        </w:rPr>
      </w:pPr>
      <w:r>
        <w:rPr>
          <w:rFonts w:ascii="Arial" w:eastAsia="Arial" w:hAnsi="Arial" w:cs="Arial"/>
          <w:b/>
          <w:bCs/>
        </w:rPr>
        <w:t xml:space="preserve">COURSE </w:t>
      </w:r>
      <w:r w:rsidR="00F95F49">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EE1CD5" w14:textId="77777777" w:rsidR="00630DC1" w:rsidRDefault="00630DC1">
      <w:pPr>
        <w:rPr>
          <w:rFonts w:ascii="Arial" w:eastAsia="Arial" w:hAnsi="Arial" w:cs="Arial"/>
          <w:b/>
          <w:bCs/>
        </w:rPr>
      </w:pPr>
    </w:p>
    <w:p w14:paraId="40D4FEDB" w14:textId="77777777" w:rsidR="00630DC1" w:rsidRDefault="00630DC1">
      <w:pPr>
        <w:rPr>
          <w:rFonts w:ascii="Arial" w:eastAsia="Arial" w:hAnsi="Arial" w:cs="Arial"/>
          <w:b/>
          <w:bCs/>
        </w:rPr>
      </w:pPr>
    </w:p>
    <w:p w14:paraId="4641EB7A" w14:textId="77777777" w:rsidR="00630DC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E6A244F" wp14:editId="58FFCF3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E414444" w14:textId="77777777" w:rsidR="00630DC1" w:rsidRDefault="00630DC1">
                            <w:pPr>
                              <w:textDirection w:val="btLr"/>
                            </w:pPr>
                          </w:p>
                        </w:txbxContent>
                      </wps:txbx>
                      <wps:bodyPr spcFirstLastPara="1" wrap="square" lIns="91425" tIns="91425" rIns="91425" bIns="91425" anchor="ctr" anchorCtr="0">
                        <a:noAutofit/>
                      </wps:bodyPr>
                    </wps:wsp>
                  </a:graphicData>
                </a:graphic>
              </wp:inline>
            </w:drawing>
          </mc:Choice>
          <mc:Fallback>
            <w:pict>
              <v:rect w14:anchorId="4E6A244F"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E414444" w14:textId="77777777" w:rsidR="00630DC1" w:rsidRDefault="00630DC1">
                      <w:pPr>
                        <w:textDirection w:val="btLr"/>
                      </w:pPr>
                    </w:p>
                  </w:txbxContent>
                </v:textbox>
                <w10:anchorlock/>
              </v:rect>
            </w:pict>
          </mc:Fallback>
        </mc:AlternateContent>
      </w:r>
    </w:p>
    <w:p w14:paraId="69F391F1" w14:textId="77777777" w:rsidR="00630DC1" w:rsidRDefault="00630DC1">
      <w:pPr>
        <w:rPr>
          <w:rFonts w:ascii="Arial" w:eastAsia="Arial" w:hAnsi="Arial" w:cs="Arial"/>
          <w:b/>
          <w:bCs/>
        </w:rPr>
      </w:pPr>
    </w:p>
    <w:p w14:paraId="4032B699" w14:textId="77777777" w:rsidR="00630DC1" w:rsidRDefault="00000000">
      <w:pPr>
        <w:rPr>
          <w:rFonts w:ascii="Arial" w:eastAsia="Arial" w:hAnsi="Arial" w:cs="Arial"/>
          <w:b/>
          <w:bCs/>
        </w:rPr>
      </w:pPr>
      <w:r>
        <w:rPr>
          <w:rFonts w:ascii="Arial" w:eastAsia="Arial" w:hAnsi="Arial" w:cs="Arial"/>
          <w:b/>
          <w:bCs/>
        </w:rPr>
        <w:t>COURSE OUTCOME COVERED</w:t>
      </w:r>
    </w:p>
    <w:p w14:paraId="7493E292" w14:textId="77777777" w:rsidR="00630DC1" w:rsidRDefault="00630DC1">
      <w:pPr>
        <w:rPr>
          <w:rFonts w:ascii="Arial" w:eastAsia="Arial" w:hAnsi="Arial" w:cs="Arial"/>
          <w:b/>
          <w:bCs/>
        </w:rPr>
      </w:pPr>
    </w:p>
    <w:p w14:paraId="6867F6D2" w14:textId="72340D1D" w:rsidR="00630DC1" w:rsidRDefault="00000000" w:rsidP="00475F32">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w:t>
      </w:r>
      <w:r w:rsidR="00475F32">
        <w:rPr>
          <w:rFonts w:ascii="Arial" w:eastAsia="Arial" w:hAnsi="Arial" w:cs="Arial"/>
          <w:i/>
          <w:iCs/>
          <w:color w:val="000000"/>
        </w:rPr>
        <w:t xml:space="preserve"> </w:t>
      </w:r>
      <w:r>
        <w:rPr>
          <w:rFonts w:ascii="Arial" w:eastAsia="Arial" w:hAnsi="Arial" w:cs="Arial"/>
          <w:i/>
          <w:iCs/>
          <w:color w:val="000000"/>
        </w:rPr>
        <w:t>BL6)</w:t>
      </w:r>
      <w:r w:rsidR="00475F32">
        <w:rPr>
          <w:rFonts w:ascii="Arial" w:eastAsia="Arial" w:hAnsi="Arial" w:cs="Arial"/>
          <w:i/>
          <w:iCs/>
          <w:color w:val="000000"/>
        </w:rPr>
        <w:t>.</w:t>
      </w:r>
    </w:p>
    <w:p w14:paraId="7774B2D3" w14:textId="77777777" w:rsidR="00630DC1" w:rsidRDefault="00630DC1">
      <w:pPr>
        <w:rPr>
          <w:rFonts w:ascii="Arial" w:eastAsia="Arial" w:hAnsi="Arial" w:cs="Arial"/>
          <w:i/>
          <w:iCs/>
        </w:rPr>
      </w:pPr>
    </w:p>
    <w:p w14:paraId="52FD2F01" w14:textId="14FB929A" w:rsidR="00630DC1" w:rsidRDefault="00000000">
      <w:pPr>
        <w:rPr>
          <w:rFonts w:ascii="Arial" w:eastAsia="Arial" w:hAnsi="Arial" w:cs="Arial"/>
          <w:i/>
          <w:iCs/>
        </w:rPr>
      </w:pPr>
      <w:r>
        <w:rPr>
          <w:rFonts w:ascii="Arial" w:eastAsia="Arial" w:hAnsi="Arial" w:cs="Arial"/>
          <w:i/>
          <w:iCs/>
        </w:rPr>
        <w:t xml:space="preserve">Assessment Tool Weightage: </w:t>
      </w:r>
      <w:r w:rsidR="00020B91">
        <w:rPr>
          <w:rFonts w:ascii="Arial" w:eastAsia="Arial" w:hAnsi="Arial" w:cs="Arial"/>
          <w:i/>
          <w:iCs/>
        </w:rPr>
        <w:t>25</w:t>
      </w:r>
      <w:r>
        <w:rPr>
          <w:rFonts w:ascii="Arial" w:eastAsia="Arial" w:hAnsi="Arial" w:cs="Arial"/>
          <w:i/>
          <w:iCs/>
        </w:rPr>
        <w:t>%</w:t>
      </w:r>
    </w:p>
    <w:p w14:paraId="560117FF" w14:textId="77777777" w:rsidR="00630DC1" w:rsidRDefault="00630DC1">
      <w:pPr>
        <w:rPr>
          <w:rFonts w:ascii="Arial" w:eastAsia="Arial" w:hAnsi="Arial" w:cs="Arial"/>
          <w:i/>
          <w:iCs/>
        </w:rPr>
      </w:pPr>
    </w:p>
    <w:p w14:paraId="03027B4A" w14:textId="55649D25" w:rsidR="00630DC1" w:rsidRDefault="00000000">
      <w:pPr>
        <w:rPr>
          <w:rFonts w:ascii="Arial" w:eastAsia="Arial" w:hAnsi="Arial" w:cs="Arial"/>
        </w:rPr>
      </w:pPr>
      <w:r>
        <w:rPr>
          <w:noProof/>
          <w:sz w:val="22"/>
          <w:szCs w:val="22"/>
        </w:rPr>
        <mc:AlternateContent>
          <mc:Choice Requires="wps">
            <w:drawing>
              <wp:inline distT="0" distB="0" distL="114300" distR="114300" wp14:anchorId="68BD5156" wp14:editId="41E640B6">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1284CC" w14:textId="77777777" w:rsidR="00630DC1" w:rsidRDefault="00630DC1">
                            <w:pPr>
                              <w:textDirection w:val="btLr"/>
                            </w:pPr>
                          </w:p>
                        </w:txbxContent>
                      </wps:txbx>
                      <wps:bodyPr spcFirstLastPara="1" wrap="square" lIns="91425" tIns="91425" rIns="91425" bIns="91425" anchor="ctr" anchorCtr="0">
                        <a:noAutofit/>
                      </wps:bodyPr>
                    </wps:wsp>
                  </a:graphicData>
                </a:graphic>
              </wp:inline>
            </w:drawing>
          </mc:Choice>
          <mc:Fallback>
            <w:pict>
              <v:rect w14:anchorId="68BD5156"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1284CC" w14:textId="77777777" w:rsidR="00630DC1" w:rsidRDefault="00630DC1">
                      <w:pPr>
                        <w:textDirection w:val="btLr"/>
                      </w:pPr>
                    </w:p>
                  </w:txbxContent>
                </v:textbox>
                <w10:anchorlock/>
              </v:rect>
            </w:pict>
          </mc:Fallback>
        </mc:AlternateContent>
      </w:r>
      <w:r>
        <w:rPr>
          <w:rFonts w:ascii="Arial" w:eastAsia="Arial" w:hAnsi="Arial" w:cs="Arial"/>
        </w:rPr>
        <w:t xml:space="preserve">Dr </w:t>
      </w:r>
      <w:r w:rsidR="00020B91">
        <w:rPr>
          <w:rFonts w:ascii="Arial" w:eastAsia="Arial" w:hAnsi="Arial" w:cs="Arial"/>
        </w:rPr>
        <w:t>G. A. SENTHIL</w:t>
      </w:r>
    </w:p>
    <w:p w14:paraId="11407DB5" w14:textId="77777777" w:rsidR="00630DC1" w:rsidRDefault="00630DC1">
      <w:pPr>
        <w:rPr>
          <w:rFonts w:ascii="Arial" w:eastAsia="Arial" w:hAnsi="Arial" w:cs="Arial"/>
        </w:rPr>
      </w:pPr>
    </w:p>
    <w:p w14:paraId="72234898" w14:textId="77777777" w:rsidR="00630DC1"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EA4D6C5" w14:textId="77777777" w:rsidR="00630DC1" w:rsidRDefault="00630DC1">
      <w:pPr>
        <w:rPr>
          <w:rFonts w:ascii="Arial" w:eastAsia="Arial" w:hAnsi="Arial" w:cs="Arial"/>
        </w:rPr>
      </w:pPr>
    </w:p>
    <w:p w14:paraId="24D01E9B" w14:textId="77777777" w:rsidR="00630DC1" w:rsidRDefault="00000000">
      <w:pPr>
        <w:ind w:left="2880" w:firstLine="720"/>
        <w:rPr>
          <w:rFonts w:ascii="Arial" w:eastAsia="Arial" w:hAnsi="Arial" w:cs="Arial"/>
        </w:rPr>
      </w:pPr>
      <w:r>
        <w:rPr>
          <w:rFonts w:ascii="Arial" w:eastAsia="Arial" w:hAnsi="Arial" w:cs="Arial"/>
        </w:rPr>
        <w:t xml:space="preserve">   </w:t>
      </w:r>
    </w:p>
    <w:p w14:paraId="5F32EE62" w14:textId="77777777" w:rsidR="00630DC1" w:rsidRDefault="00630DC1">
      <w:pPr>
        <w:ind w:left="2880" w:firstLine="720"/>
        <w:rPr>
          <w:rFonts w:ascii="Arial" w:eastAsia="Arial" w:hAnsi="Arial" w:cs="Arial"/>
        </w:rPr>
      </w:pPr>
    </w:p>
    <w:p w14:paraId="3FF009C8" w14:textId="77777777" w:rsidR="00630DC1" w:rsidRDefault="00000000">
      <w:pPr>
        <w:ind w:left="2880" w:firstLine="720"/>
        <w:rPr>
          <w:rFonts w:ascii="Arial" w:eastAsia="Arial" w:hAnsi="Arial" w:cs="Arial"/>
        </w:rPr>
      </w:pPr>
      <w:r>
        <w:rPr>
          <w:rFonts w:ascii="Arial" w:eastAsia="Arial" w:hAnsi="Arial" w:cs="Arial"/>
        </w:rPr>
        <w:t>Annexure A</w:t>
      </w:r>
    </w:p>
    <w:p w14:paraId="76B411DF" w14:textId="77777777" w:rsidR="00630DC1"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51E9E81" w14:textId="77777777" w:rsidR="00630DC1" w:rsidRDefault="00000000">
      <w:pPr>
        <w:rPr>
          <w:rFonts w:ascii="Arial" w:eastAsia="Arial" w:hAnsi="Arial" w:cs="Arial"/>
          <w:b/>
          <w:bCs/>
        </w:rPr>
      </w:pPr>
      <w:r>
        <w:rPr>
          <w:rFonts w:ascii="Arial" w:eastAsia="Arial" w:hAnsi="Arial" w:cs="Arial"/>
          <w:b/>
          <w:bCs/>
        </w:rPr>
        <w:t xml:space="preserve">                                                 Data Interpretation                                Duration: 1hr</w:t>
      </w:r>
    </w:p>
    <w:p w14:paraId="32B3BCDD" w14:textId="77777777" w:rsidR="00630DC1" w:rsidRDefault="00630DC1">
      <w:pPr>
        <w:rPr>
          <w:b/>
          <w:bCs/>
        </w:rPr>
      </w:pPr>
    </w:p>
    <w:p w14:paraId="346149D2" w14:textId="77777777" w:rsidR="00630DC1" w:rsidRDefault="00630DC1">
      <w:pPr>
        <w:rPr>
          <w:b/>
          <w:bCs/>
          <w:i/>
          <w:iCs/>
        </w:rPr>
      </w:pPr>
    </w:p>
    <w:p w14:paraId="1359C779" w14:textId="77777777" w:rsidR="00630DC1" w:rsidRDefault="00630DC1"/>
    <w:p w14:paraId="3D7C1F93" w14:textId="77777777" w:rsidR="00616973"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pPr>
        <w:spacing w:before="60" w:after="160"/>
      </w:pPr>
      <w:r>
        <w:rPr>
          <w:rFonts w:ascii="Arial" w:hAnsi="Arial"/>
          <w:b/>
          <w:sz w:val="21"/>
        </w:rPr>
        <w:t xml:space="preserve">Answer: </w:t>
      </w:r>
      <w:r>
        <w:rPr>
          <w:rFonts w:ascii="Arial" w:hAnsi="Arial"/>
          <w:sz w:val="21"/>
        </w:rPr>
        <w:t>The increase from 10 to 45 shows that the agent is obtaining higher return as training proceeds. Its policy is increasingly selecting actions that lead to useful future outcomes, rather than relying on random exploration. This is evidence of learning and policy improvement because the trend is gradual and consistently upward. It is not proof of a globally optimal policy by itself: the final reward should be compared with a baseline or known maximum, and performance should also be checked on independent evaluation episodes. If the reward later plateaus near 45 with low variation, that would indicate the policy has largely converged for the observed environment.</w:t>
      </w:r>
    </w:p>
    <w:p w14:paraId="764619B0" w14:textId="33A4346E" w:rsidR="00630DC1" w:rsidRDefault="00000000" w:rsidP="00616973">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7A545FA2" w14:textId="77777777" w:rsidR="00630DC1" w:rsidRDefault="00630DC1">
      <w:pPr>
        <w:pBdr>
          <w:top w:val="nil"/>
          <w:left w:val="nil"/>
          <w:bottom w:val="nil"/>
          <w:right w:val="nil"/>
          <w:between w:val="nil"/>
        </w:pBdr>
        <w:spacing w:line="276" w:lineRule="auto"/>
        <w:jc w:val="both"/>
        <w:rPr>
          <w:rFonts w:ascii="Arial" w:eastAsia="Arial" w:hAnsi="Arial" w:cs="Arial"/>
          <w:color w:val="000000"/>
        </w:rPr>
      </w:pPr>
    </w:p>
    <w:p w14:paraId="11E5BCDF" w14:textId="77777777" w:rsidR="00630DC1"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pPr>
        <w:spacing w:before="60" w:after="160"/>
      </w:pPr>
      <w:r>
        <w:rPr>
          <w:rFonts w:ascii="Arial" w:hAnsi="Arial"/>
          <w:b/>
          <w:sz w:val="21"/>
        </w:rPr>
        <w:t xml:space="preserve">Answer: </w:t>
      </w:r>
      <w:r>
        <w:rPr>
          <w:rFonts w:ascii="Arial" w:hAnsi="Arial"/>
          <w:sz w:val="21"/>
        </w:rPr>
        <w:t>In epsilon-greedy learning, epsilon is the probability of exploration. With epsilon = 0.1, the agent exploits the currently best action about 90 percent of the time, while still exploring occasionally. With epsilon = 0.5, half the actions are random, so many choices are suboptimal and cumulative reward falls. Therefore epsilon = 0.1 gives the best observed performance for this experiment. However, a high epsilon can be useful early in training when values are uncertain. A practical schedule begins with higher exploration and decays epsilon toward 0.1 as the value estimates improve.</w:t>
      </w:r>
    </w:p>
    <w:p w14:paraId="358B6398" w14:textId="77777777" w:rsidR="00630DC1" w:rsidRDefault="00630DC1">
      <w:pPr>
        <w:pBdr>
          <w:top w:val="nil"/>
          <w:left w:val="nil"/>
          <w:bottom w:val="nil"/>
          <w:right w:val="nil"/>
          <w:between w:val="nil"/>
        </w:pBdr>
        <w:spacing w:line="276" w:lineRule="auto"/>
        <w:ind w:left="7200" w:firstLine="720"/>
        <w:jc w:val="both"/>
        <w:rPr>
          <w:rFonts w:ascii="Arial" w:eastAsia="Arial" w:hAnsi="Arial" w:cs="Arial"/>
          <w:color w:val="000000"/>
        </w:rPr>
      </w:pPr>
    </w:p>
    <w:p w14:paraId="3F789AFB" w14:textId="260DD407" w:rsidR="00630DC1"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sidR="00616973">
        <w:rPr>
          <w:rFonts w:ascii="Arial" w:eastAsia="Arial" w:hAnsi="Arial" w:cs="Arial"/>
          <w:color w:val="000000"/>
        </w:rPr>
        <w:t xml:space="preserve">                          </w:t>
      </w:r>
      <w:r>
        <w:rPr>
          <w:rFonts w:ascii="Arial" w:eastAsia="Arial" w:hAnsi="Arial" w:cs="Arial"/>
          <w:color w:val="000000"/>
        </w:rPr>
        <w:t xml:space="preserve">  </w:t>
      </w:r>
      <w:r>
        <w:rPr>
          <w:rFonts w:ascii="Arial" w:eastAsia="Arial" w:hAnsi="Arial" w:cs="Arial"/>
          <w:b/>
          <w:bCs/>
        </w:rPr>
        <w:t>(5 Marks)</w:t>
      </w:r>
    </w:p>
    <w:p>
      <w:pPr>
        <w:spacing w:before="60" w:after="160"/>
      </w:pPr>
      <w:r>
        <w:rPr>
          <w:rFonts w:ascii="Arial" w:hAnsi="Arial"/>
          <w:b/>
          <w:sz w:val="21"/>
        </w:rPr>
        <w:t xml:space="preserve">Answer: </w:t>
      </w:r>
      <w:r>
        <w:rPr>
          <w:rFonts w:ascii="Arial" w:hAnsi="Arial"/>
          <w:sz w:val="21"/>
        </w:rPr>
        <w:t>The consistently higher average rewards of Q-learning show that it finds a more rewarding action-value policy in this setting. Q-learning is off-policy: its update uses the maximum next-state Q value, so it learns the greedy target even when behavior includes exploration. SARSA is on-policy and updates using the action actually selected next; it accounts for exploratory behavior and may be more conservative. Based on the observed reward curve, Q-learning is converging faster because it reaches higher performance at 100, 200, and 300 episodes. The conclusion should be confirmed by checking variance over several random seeds, not one run only.</w:t>
      </w:r>
    </w:p>
    <w:p w14:paraId="10DE6415" w14:textId="77777777" w:rsidR="00630DC1" w:rsidRDefault="00630DC1">
      <w:pPr>
        <w:pBdr>
          <w:top w:val="nil"/>
          <w:left w:val="nil"/>
          <w:bottom w:val="nil"/>
          <w:right w:val="nil"/>
          <w:between w:val="nil"/>
        </w:pBdr>
        <w:spacing w:line="276" w:lineRule="auto"/>
        <w:jc w:val="both"/>
        <w:rPr>
          <w:rFonts w:ascii="Arial" w:eastAsia="Arial" w:hAnsi="Arial" w:cs="Arial"/>
          <w:color w:val="000000"/>
        </w:rPr>
      </w:pPr>
    </w:p>
    <w:p w14:paraId="3EB22563" w14:textId="77777777" w:rsidR="00630DC1"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pPr>
        <w:spacing w:before="60" w:after="160"/>
      </w:pPr>
      <w:r>
        <w:rPr>
          <w:rFonts w:ascii="Arial" w:hAnsi="Arial"/>
          <w:b/>
          <w:sz w:val="21"/>
        </w:rPr>
        <w:t xml:space="preserve">Answer: </w:t>
      </w:r>
      <w:r>
        <w:rPr>
          <w:rFonts w:ascii="Arial" w:hAnsi="Arial"/>
          <w:sz w:val="21"/>
        </w:rPr>
        <w:t>The discount factor gamma determines how much the agent values delayed reward. Gamma = 0.2 makes future rewards decay rapidly, promoting short-term actions. Gamma = 0.9 preserves much more future value, so it encourages decisions with better long-term consequences. Since average reward rises as gamma increases, the task benefits from planning beyond the immediate step. Among the tested values, gamma = 0.9 is the most suitable choice because it yields the best measured learning performance. It should still be evaluated for stability, because values very close to one can increase variance and slow credit assignment in long tasks.</w:t>
      </w:r>
    </w:p>
    <w:p w14:paraId="535123CD" w14:textId="77777777" w:rsidR="00630DC1"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6AD74B55" w14:textId="77777777" w:rsidR="00630DC1" w:rsidRDefault="00630DC1">
      <w:pPr>
        <w:pBdr>
          <w:top w:val="nil"/>
          <w:left w:val="nil"/>
          <w:bottom w:val="nil"/>
          <w:right w:val="nil"/>
          <w:between w:val="nil"/>
        </w:pBdr>
        <w:spacing w:line="276" w:lineRule="auto"/>
        <w:jc w:val="both"/>
        <w:rPr>
          <w:rFonts w:ascii="Arial" w:eastAsia="Arial" w:hAnsi="Arial" w:cs="Arial"/>
          <w:color w:val="000000"/>
        </w:rPr>
      </w:pPr>
    </w:p>
    <w:p w14:paraId="6071F03E" w14:textId="6CAE9944" w:rsidR="00630DC1"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sidR="003F3F5C">
        <w:rPr>
          <w:rFonts w:ascii="Arial" w:eastAsia="Arial" w:hAnsi="Arial" w:cs="Arial"/>
          <w:color w:val="000000"/>
        </w:rPr>
        <w:t xml:space="preserve">         </w:t>
      </w:r>
      <w:r>
        <w:rPr>
          <w:rFonts w:ascii="Arial" w:eastAsia="Arial" w:hAnsi="Arial" w:cs="Arial"/>
          <w:color w:val="000000"/>
        </w:rPr>
        <w:t xml:space="preserve">  </w:t>
      </w:r>
      <w:r>
        <w:rPr>
          <w:rFonts w:ascii="Arial" w:eastAsia="Arial" w:hAnsi="Arial" w:cs="Arial"/>
          <w:b/>
          <w:bCs/>
        </w:rPr>
        <w:t>(5 Marks)</w:t>
      </w:r>
      <w:r>
        <w:rPr>
          <w:rFonts w:ascii="Arial" w:eastAsia="Arial" w:hAnsi="Arial" w:cs="Arial"/>
          <w:color w:val="000000"/>
        </w:rPr>
        <w:t xml:space="preserve">   </w:t>
      </w:r>
    </w:p>
    <w:p>
      <w:pPr>
        <w:spacing w:before="60" w:after="160"/>
      </w:pPr>
      <w:r>
        <w:rPr>
          <w:rFonts w:ascii="Arial" w:hAnsi="Arial"/>
          <w:b/>
          <w:sz w:val="21"/>
        </w:rPr>
        <w:t xml:space="preserve">Answer: </w:t>
      </w:r>
      <w:r>
        <w:rPr>
          <w:rFonts w:ascii="Arial" w:hAnsi="Arial"/>
          <w:sz w:val="21"/>
        </w:rPr>
        <w:t>The success rate rises by 47 percentage points, from 45 percent at 50 episodes to 92 percent at 200 episodes. This strong improvement indicates that the agent has learned action sequences that solve the task much more reliably. A 92 percent success rate is good evidence of an effective policy, but it does not conclusively establish optimality. An optimal policy would need to be compared with a known benchmark or upper bound, tested on new initial states, and shown to remain near 92 percent or improve after additional training. A stable plateau near the best achievable success rate would support an optimal-policy claim.</w:t>
      </w:r>
    </w:p>
    <w:p w14:paraId="0E1A57D0" w14:textId="354CDCA6" w:rsidR="00630DC1" w:rsidRDefault="003F3F5C">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23A77F83" w14:textId="77777777" w:rsidR="00630DC1" w:rsidRDefault="00000000">
      <w:pPr>
        <w:spacing w:line="276" w:lineRule="auto"/>
        <w:jc w:val="both"/>
        <w:rPr>
          <w:rFonts w:ascii="Arial" w:eastAsia="Arial" w:hAnsi="Arial" w:cs="Arial"/>
        </w:rPr>
      </w:pPr>
      <w:r>
        <w:rPr>
          <w:rFonts w:ascii="Arial" w:eastAsia="Arial" w:hAnsi="Arial" w:cs="Arial"/>
        </w:rPr>
        <w:t xml:space="preserve">6. An RL agent is trained in the CartPole environment with different learning rates (0.01, 0.05, 0.1). The agent achieves higher stability at 0.05 compared to the other values. Analyze how learning rate influences convergence and justify which value provides the best trade-off between speed and stability.                                </w:t>
      </w:r>
      <w:r>
        <w:rPr>
          <w:rFonts w:ascii="Arial" w:eastAsia="Arial" w:hAnsi="Arial" w:cs="Arial"/>
          <w:b/>
          <w:bCs/>
        </w:rPr>
        <w:t>(5 Marks)</w:t>
      </w:r>
    </w:p>
    <w:p>
      <w:pPr>
        <w:spacing w:before="60" w:after="160"/>
      </w:pPr>
      <w:r>
        <w:rPr>
          <w:rFonts w:ascii="Arial" w:hAnsi="Arial"/>
          <w:b/>
          <w:sz w:val="21"/>
        </w:rPr>
        <w:t xml:space="preserve">Answer: </w:t>
      </w:r>
      <w:r>
        <w:rPr>
          <w:rFonts w:ascii="Arial" w:hAnsi="Arial"/>
          <w:sz w:val="21"/>
        </w:rPr>
        <w:t>Learning rate controls the size of each parameter update. At 0.01, updates may be too small, producing slow improvement. At 0.1, updates may overshoot a good solution, causing unstable rewards or oscillation. The observed higher stability at 0.05 indicates that it makes sufficiently large progress while avoiding excessive update noise. Therefore 0.05 is the best trade-off between learning speed and convergence stability among the tested values. A sound experiment would report mean reward and standard deviation over multiple seeds and keep all other hyperparameters fixed while comparing these learning rates.</w:t>
      </w:r>
    </w:p>
    <w:p w14:paraId="6BD379DD" w14:textId="77777777" w:rsidR="00630DC1" w:rsidRDefault="00630DC1">
      <w:pPr>
        <w:spacing w:line="276" w:lineRule="auto"/>
        <w:jc w:val="both"/>
        <w:rPr>
          <w:rFonts w:ascii="Arial" w:eastAsia="Arial" w:hAnsi="Arial" w:cs="Arial"/>
        </w:rPr>
      </w:pPr>
    </w:p>
    <w:p w14:paraId="4194F16E" w14:textId="77777777" w:rsidR="003F3F5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softmax, and random exploration. The cumulative reward is highest with ε-greedy. Compare the strategies and defend why ε-greedy achieves better performance in this scenario.                                                                                                         </w:t>
      </w:r>
    </w:p>
    <w:p>
      <w:pPr>
        <w:spacing w:before="60" w:after="160"/>
      </w:pPr>
      <w:r>
        <w:rPr>
          <w:rFonts w:ascii="Arial" w:hAnsi="Arial"/>
          <w:b/>
          <w:sz w:val="21"/>
        </w:rPr>
        <w:t xml:space="preserve">Answer: </w:t>
      </w:r>
      <w:r>
        <w:rPr>
          <w:rFonts w:ascii="Arial" w:hAnsi="Arial"/>
          <w:sz w:val="21"/>
        </w:rPr>
        <w:t>Epsilon-greedy selects the current best action most of the time but still tries random actions with probability epsilon. Softmax samples actions according to their estimated values and random exploration ignores values entirely. Random exploration wastes many steps on weak actions, so it normally produces lower reward. Softmax can work well, but its performance depends on temperature and the scale of Q values. In this scenario epsilon-greedy achieves the highest cumulative reward because it provides a simple, controlled balance: it exploits the best known Q value frequently while maintaining enough exploration to update estimates. The result is specific to the tested settings; softmax temperature should be tuned before a final comparison.</w:t>
      </w:r>
    </w:p>
    <w:p w14:paraId="2AF6F2BF" w14:textId="06B9E4FB" w:rsidR="00630DC1" w:rsidRDefault="003F3F5C">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5ECB4CBF" w14:textId="77777777" w:rsidR="00630DC1" w:rsidRDefault="00630DC1">
      <w:pPr>
        <w:spacing w:line="276" w:lineRule="auto"/>
        <w:jc w:val="both"/>
        <w:rPr>
          <w:rFonts w:ascii="Arial" w:eastAsia="Arial" w:hAnsi="Arial" w:cs="Arial"/>
        </w:rPr>
      </w:pPr>
    </w:p>
    <w:p w14:paraId="384C208A" w14:textId="25692FF4" w:rsidR="00630DC1"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sidR="003F3F5C">
        <w:rPr>
          <w:rFonts w:ascii="Arial" w:eastAsia="Arial" w:hAnsi="Arial" w:cs="Arial"/>
        </w:rPr>
        <w:t xml:space="preserve">     </w:t>
      </w:r>
      <w:r>
        <w:rPr>
          <w:rFonts w:ascii="Arial" w:eastAsia="Arial" w:hAnsi="Arial" w:cs="Arial"/>
        </w:rPr>
        <w:t xml:space="preserve"> </w:t>
      </w:r>
      <w:r>
        <w:rPr>
          <w:rFonts w:ascii="Arial" w:eastAsia="Arial" w:hAnsi="Arial" w:cs="Arial"/>
          <w:b/>
          <w:bCs/>
        </w:rPr>
        <w:t>(5 Marks)</w:t>
      </w:r>
    </w:p>
    <w:p>
      <w:pPr>
        <w:spacing w:before="60" w:after="160"/>
      </w:pPr>
      <w:r>
        <w:rPr>
          <w:rFonts w:ascii="Arial" w:hAnsi="Arial"/>
          <w:b/>
          <w:sz w:val="21"/>
        </w:rPr>
        <w:t xml:space="preserve">Answer: </w:t>
      </w:r>
      <w:r>
        <w:rPr>
          <w:rFonts w:ascii="Arial" w:hAnsi="Arial"/>
          <w:sz w:val="21"/>
        </w:rPr>
        <w:t>Reducing the path from 50 steps to 15 steps means the agent has learned a much more efficient route to the goal. It is avoiding detours and selecting actions with higher learned value. This is strong evidence of convergence toward an optimal or near-optimal policy, especially if 15 is close to the maze shortest-path length. It is not enough to claim optimality without that comparison. Evaluate the policy from several starting positions, measure average path length after training, and check that the 15-step result remains stable. If the route length no longer decreases and equals the shortest feasible path, the policy can be considered optimal for the maze.</w:t>
      </w:r>
    </w:p>
    <w:p w14:paraId="5B893036" w14:textId="77777777" w:rsidR="00630DC1" w:rsidRDefault="00630DC1">
      <w:pPr>
        <w:spacing w:line="276" w:lineRule="auto"/>
        <w:jc w:val="both"/>
        <w:rPr>
          <w:rFonts w:ascii="Arial" w:eastAsia="Arial" w:hAnsi="Arial" w:cs="Arial"/>
        </w:rPr>
      </w:pPr>
    </w:p>
    <w:p w14:paraId="390B7EE7" w14:textId="77777777" w:rsidR="00630DC1"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pPr>
        <w:spacing w:before="60" w:after="160"/>
      </w:pPr>
      <w:r>
        <w:rPr>
          <w:rFonts w:ascii="Arial" w:hAnsi="Arial"/>
          <w:b/>
          <w:sz w:val="21"/>
        </w:rPr>
        <w:t xml:space="preserve">Answer: </w:t>
      </w:r>
      <w:r>
        <w:rPr>
          <w:rFonts w:ascii="Arial" w:hAnsi="Arial"/>
          <w:sz w:val="21"/>
        </w:rPr>
        <w:t>SARSA uses gamma to balance immediate and future reward in its on-policy update. Gamma = 0.4 discounts delayed outcomes heavily, while gamma = 0.95 retains most of their value. The highest long-term reward at 0.95 shows that successful behavior in this task requires planning for future consequences rather than maximizing a short-term signal. Thus 0.95 is the most effective tested value. The policy is likely choosing actions that may have a small immediate cost but lead to greater eventual return. Because gamma near one can increase sensitivity to noisy future estimates, the result should be checked for reward variance and stable performance across multiple runs.</w:t>
      </w:r>
    </w:p>
    <w:p w14:paraId="0910445B" w14:textId="77777777" w:rsidR="00630DC1" w:rsidRDefault="00000000" w:rsidP="00F974A8">
      <w:pPr>
        <w:spacing w:line="276" w:lineRule="auto"/>
        <w:ind w:left="7200" w:firstLine="720"/>
        <w:jc w:val="both"/>
        <w:rPr>
          <w:rFonts w:ascii="Arial" w:eastAsia="Arial" w:hAnsi="Arial" w:cs="Arial"/>
        </w:rPr>
      </w:pPr>
      <w:r>
        <w:rPr>
          <w:rFonts w:ascii="Arial" w:eastAsia="Arial" w:hAnsi="Arial" w:cs="Arial"/>
          <w:b/>
          <w:bCs/>
        </w:rPr>
        <w:t>(5 Marks)</w:t>
      </w:r>
    </w:p>
    <w:p w14:paraId="501B01C4" w14:textId="77777777" w:rsidR="00630DC1" w:rsidRDefault="00630DC1">
      <w:pPr>
        <w:spacing w:line="276" w:lineRule="auto"/>
        <w:jc w:val="both"/>
        <w:rPr>
          <w:rFonts w:ascii="Arial" w:eastAsia="Arial" w:hAnsi="Arial" w:cs="Arial"/>
        </w:rPr>
      </w:pPr>
    </w:p>
    <w:p w14:paraId="371FAA93" w14:textId="77777777" w:rsidR="00630DC1"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pPr>
        <w:spacing w:before="60" w:after="160"/>
      </w:pPr>
      <w:r>
        <w:rPr>
          <w:rFonts w:ascii="Arial" w:hAnsi="Arial"/>
          <w:b/>
          <w:sz w:val="21"/>
        </w:rPr>
        <w:t xml:space="preserve">Answer: </w:t>
      </w:r>
      <w:r>
        <w:rPr>
          <w:rFonts w:ascii="Arial" w:hAnsi="Arial"/>
          <w:sz w:val="21"/>
        </w:rPr>
        <w:t>Early reward fluctuations are expected in a stochastic environment because the same action can lead to different transitions or rewards, and the agent is still exploring. Stabilization after 500 episodes suggests that the policy and value estimates have become reliable enough to produce similar expected return despite environmental randomness. This indicates policy improvement and learning robustness, provided the stable mean reward is high and evaluation runs use new random seeds. Stability alone is not sufficient: a consistently poor policy can also be stable. Compare the stabilized reward with a random or rule-based baseline, report mean and variance, and test the policy under changed stochastic conditions.</w:t>
      </w:r>
    </w:p>
    <w:p w14:paraId="54DF923B" w14:textId="77777777" w:rsidR="00630DC1" w:rsidRDefault="00000000" w:rsidP="00F974A8">
      <w:pPr>
        <w:spacing w:line="276" w:lineRule="auto"/>
        <w:ind w:left="7200" w:firstLine="720"/>
        <w:jc w:val="both"/>
        <w:rPr>
          <w:rFonts w:ascii="Arial" w:eastAsia="Arial" w:hAnsi="Arial" w:cs="Arial"/>
        </w:rPr>
      </w:pPr>
      <w:r>
        <w:rPr>
          <w:rFonts w:ascii="Arial" w:eastAsia="Arial" w:hAnsi="Arial" w:cs="Arial"/>
          <w:b/>
          <w:bCs/>
        </w:rPr>
        <w:t>(5 Marks)</w:t>
      </w:r>
    </w:p>
    <w:p w14:paraId="1FF9D08E" w14:textId="77777777" w:rsidR="00630DC1"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4DC2995F" w14:textId="77777777" w:rsidR="00630DC1" w:rsidRDefault="00000000">
      <w:pPr>
        <w:rPr>
          <w:b/>
          <w:bCs/>
        </w:rPr>
      </w:pPr>
      <w:r>
        <w:rPr>
          <w:noProof/>
          <w:sz w:val="22"/>
          <w:szCs w:val="22"/>
        </w:rPr>
        <mc:AlternateContent>
          <mc:Choice Requires="wps">
            <w:drawing>
              <wp:inline distT="0" distB="0" distL="114300" distR="114300" wp14:anchorId="394D523F" wp14:editId="66590357">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41067DF" w14:textId="77777777" w:rsidR="00630DC1" w:rsidRDefault="00630DC1">
                            <w:pPr>
                              <w:textDirection w:val="btLr"/>
                            </w:pPr>
                          </w:p>
                        </w:txbxContent>
                      </wps:txbx>
                      <wps:bodyPr spcFirstLastPara="1" wrap="square" lIns="91425" tIns="91425" rIns="91425" bIns="91425" anchor="ctr" anchorCtr="0">
                        <a:noAutofit/>
                      </wps:bodyPr>
                    </wps:wsp>
                  </a:graphicData>
                </a:graphic>
              </wp:inline>
            </w:drawing>
          </mc:Choice>
          <mc:Fallback>
            <w:pict>
              <v:rect w14:anchorId="394D523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41067DF" w14:textId="77777777" w:rsidR="00630DC1" w:rsidRDefault="00630DC1">
                      <w:pPr>
                        <w:textDirection w:val="btLr"/>
                      </w:pPr>
                    </w:p>
                  </w:txbxContent>
                </v:textbox>
                <w10:anchorlock/>
              </v:rect>
            </w:pict>
          </mc:Fallback>
        </mc:AlternateContent>
      </w:r>
    </w:p>
    <w:p w14:paraId="3D82BDC9" w14:textId="77777777" w:rsidR="00630DC1" w:rsidRDefault="00630DC1">
      <w:pPr>
        <w:rPr>
          <w:b/>
          <w:bCs/>
        </w:rPr>
      </w:pPr>
    </w:p>
    <w:p w14:paraId="5BB78D8D" w14:textId="77777777" w:rsidR="00630DC1" w:rsidRDefault="00000000">
      <w:pPr>
        <w:rPr>
          <w:b/>
          <w:bCs/>
          <w:i/>
          <w:iCs/>
        </w:rPr>
      </w:pPr>
      <w:r>
        <w:rPr>
          <w:b/>
          <w:bCs/>
          <w:i/>
          <w:iCs/>
        </w:rPr>
        <w:t>Code of Conduct:</w:t>
      </w:r>
    </w:p>
    <w:p w14:paraId="2BBE49A5" w14:textId="77777777" w:rsidR="00630DC1" w:rsidRDefault="00630DC1">
      <w:pPr>
        <w:rPr>
          <w:i/>
          <w:iCs/>
        </w:rPr>
      </w:pPr>
    </w:p>
    <w:p w14:paraId="3E1BF63D" w14:textId="77777777" w:rsidR="00630DC1" w:rsidRDefault="00000000">
      <w:pPr>
        <w:jc w:val="both"/>
        <w:rPr>
          <w:i/>
          <w:iCs/>
        </w:rPr>
      </w:pPr>
      <w:r>
        <w:rPr>
          <w:i/>
          <w:iCs/>
        </w:rPr>
        <w:t>I ____________________ (Name / Reg No) certify that this submission is my original work and that I have adhered to the guidelines specified for this assessment.</w:t>
      </w:r>
    </w:p>
    <w:p w14:paraId="51C25DF2" w14:textId="77777777" w:rsidR="00630DC1" w:rsidRDefault="00000000">
      <w:pPr>
        <w:jc w:val="both"/>
        <w:rPr>
          <w:i/>
          <w:iCs/>
        </w:rPr>
      </w:pPr>
      <w:r>
        <w:rPr>
          <w:i/>
          <w:iCs/>
        </w:rPr>
        <w:t>I understand that any violation of academic integrity rules will result in disciplinary action.</w:t>
      </w:r>
    </w:p>
    <w:p w14:paraId="289AFA50" w14:textId="77777777" w:rsidR="00630DC1" w:rsidRDefault="00630DC1">
      <w:pPr>
        <w:rPr>
          <w:i/>
          <w:iCs/>
        </w:rPr>
      </w:pPr>
    </w:p>
    <w:p w14:paraId="5C818A08" w14:textId="77777777" w:rsidR="00630DC1" w:rsidRDefault="00000000">
      <w:pPr>
        <w:spacing w:line="276" w:lineRule="auto"/>
        <w:rPr>
          <w:rFonts w:ascii="Arial" w:eastAsia="Arial" w:hAnsi="Arial" w:cs="Arial"/>
          <w:b/>
          <w:bCs/>
          <w:color w:val="000000"/>
        </w:rPr>
      </w:pPr>
      <w:r>
        <w:rPr>
          <w:b/>
          <w:bCs/>
          <w:i/>
          <w:iCs/>
        </w:rPr>
        <w:t>Signature of the student:</w:t>
      </w:r>
      <w:r>
        <w:br w:type="page"/>
      </w:r>
    </w:p>
    <w:p w14:paraId="70992CDF" w14:textId="77777777" w:rsidR="00630DC1"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3F5B4A4B" w14:textId="77777777" w:rsidR="00630DC1" w:rsidRDefault="00630DC1">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630DC1" w14:paraId="793BA1C0" w14:textId="77777777">
        <w:tc>
          <w:tcPr>
            <w:tcW w:w="1975" w:type="dxa"/>
            <w:vAlign w:val="center"/>
          </w:tcPr>
          <w:p w14:paraId="2C3DECA6" w14:textId="77777777" w:rsidR="00630DC1"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5EAC6821" w14:textId="77777777" w:rsidR="00630DC1"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1723B34D" w14:textId="77777777" w:rsidR="00630DC1"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4FA2475F" w14:textId="77777777" w:rsidR="00630DC1"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1F98DC68" w14:textId="77777777" w:rsidR="00630DC1"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464C53E7" w14:textId="77777777" w:rsidR="00630DC1" w:rsidRDefault="00000000">
            <w:pPr>
              <w:spacing w:line="276" w:lineRule="auto"/>
              <w:jc w:val="center"/>
              <w:rPr>
                <w:b/>
                <w:bCs/>
              </w:rPr>
            </w:pPr>
            <w:r>
              <w:rPr>
                <w:rFonts w:ascii="Arial" w:eastAsia="Arial" w:hAnsi="Arial" w:cs="Arial"/>
                <w:b/>
                <w:bCs/>
                <w:color w:val="000000"/>
                <w:sz w:val="20"/>
                <w:szCs w:val="20"/>
              </w:rPr>
              <w:t>Level 1 (Beginning)</w:t>
            </w:r>
          </w:p>
        </w:tc>
      </w:tr>
      <w:tr w:rsidR="00630DC1" w14:paraId="5EC7BCB2" w14:textId="77777777">
        <w:tc>
          <w:tcPr>
            <w:tcW w:w="1975" w:type="dxa"/>
            <w:vAlign w:val="center"/>
          </w:tcPr>
          <w:p w14:paraId="7FB944F9" w14:textId="77777777" w:rsidR="00630DC1"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0197F8FA" w14:textId="77777777" w:rsidR="00630DC1"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3E372D51" w14:textId="77777777" w:rsidR="00630DC1"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65D2537E" w14:textId="77777777" w:rsidR="00630DC1"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50D9F0A0" w14:textId="77777777" w:rsidR="00630DC1"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53F0FA86" w14:textId="77777777" w:rsidR="00630DC1" w:rsidRDefault="00000000">
            <w:pPr>
              <w:spacing w:line="276" w:lineRule="auto"/>
            </w:pPr>
            <w:r>
              <w:rPr>
                <w:rFonts w:ascii="Arial" w:eastAsia="Arial" w:hAnsi="Arial" w:cs="Arial"/>
                <w:color w:val="000000"/>
                <w:sz w:val="20"/>
                <w:szCs w:val="20"/>
              </w:rPr>
              <w:t>Misinterprets or fails to understand data</w:t>
            </w:r>
          </w:p>
        </w:tc>
      </w:tr>
      <w:tr w:rsidR="00630DC1" w14:paraId="51AF4A55" w14:textId="77777777">
        <w:tc>
          <w:tcPr>
            <w:tcW w:w="1975" w:type="dxa"/>
            <w:vAlign w:val="center"/>
          </w:tcPr>
          <w:p w14:paraId="2F9EE696" w14:textId="77777777" w:rsidR="00630DC1" w:rsidRDefault="00000000">
            <w:pPr>
              <w:spacing w:line="276" w:lineRule="auto"/>
            </w:pPr>
            <w:r>
              <w:rPr>
                <w:rFonts w:ascii="Arial" w:eastAsia="Arial" w:hAnsi="Arial" w:cs="Arial"/>
                <w:color w:val="000000"/>
                <w:sz w:val="20"/>
                <w:szCs w:val="20"/>
              </w:rPr>
              <w:t>Analysis</w:t>
            </w:r>
          </w:p>
        </w:tc>
        <w:tc>
          <w:tcPr>
            <w:tcW w:w="1348" w:type="dxa"/>
            <w:vAlign w:val="center"/>
          </w:tcPr>
          <w:p w14:paraId="7E00CDDF" w14:textId="77777777" w:rsidR="00630DC1"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7FE6EBDA" w14:textId="77777777" w:rsidR="00630DC1"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58F31689" w14:textId="77777777" w:rsidR="00630DC1"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00B467DB" w14:textId="77777777" w:rsidR="00630DC1"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2400E71F" w14:textId="77777777" w:rsidR="00630DC1" w:rsidRDefault="00000000">
            <w:pPr>
              <w:spacing w:line="276" w:lineRule="auto"/>
            </w:pPr>
            <w:r>
              <w:rPr>
                <w:rFonts w:ascii="Arial" w:eastAsia="Arial" w:hAnsi="Arial" w:cs="Arial"/>
                <w:color w:val="000000"/>
                <w:sz w:val="20"/>
                <w:szCs w:val="20"/>
              </w:rPr>
              <w:t>No meaningful analysis provided</w:t>
            </w:r>
          </w:p>
        </w:tc>
      </w:tr>
      <w:tr w:rsidR="00630DC1" w14:paraId="7B4A92D4" w14:textId="77777777">
        <w:tc>
          <w:tcPr>
            <w:tcW w:w="1975" w:type="dxa"/>
            <w:vAlign w:val="center"/>
          </w:tcPr>
          <w:p w14:paraId="4CC37B74" w14:textId="77777777" w:rsidR="00630DC1"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0263E7C3" w14:textId="77777777" w:rsidR="00630DC1"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4DBED66A" w14:textId="77777777" w:rsidR="00630DC1"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2D3491A7" w14:textId="77777777" w:rsidR="00630DC1"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54C488C9" w14:textId="77777777" w:rsidR="00630DC1"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2C06E0D" w14:textId="77777777" w:rsidR="00630DC1" w:rsidRDefault="00000000">
            <w:pPr>
              <w:spacing w:line="276" w:lineRule="auto"/>
            </w:pPr>
            <w:r>
              <w:rPr>
                <w:rFonts w:ascii="Arial" w:eastAsia="Arial" w:hAnsi="Arial" w:cs="Arial"/>
                <w:color w:val="000000"/>
                <w:sz w:val="20"/>
                <w:szCs w:val="20"/>
              </w:rPr>
              <w:t>Unable to apply concepts to data</w:t>
            </w:r>
          </w:p>
        </w:tc>
      </w:tr>
      <w:tr w:rsidR="00630DC1" w14:paraId="6A22657A" w14:textId="77777777">
        <w:tc>
          <w:tcPr>
            <w:tcW w:w="1975" w:type="dxa"/>
            <w:vAlign w:val="center"/>
          </w:tcPr>
          <w:p w14:paraId="76EFD25D" w14:textId="77777777" w:rsidR="00630DC1" w:rsidRDefault="00000000">
            <w:pPr>
              <w:spacing w:line="276" w:lineRule="auto"/>
            </w:pPr>
            <w:r>
              <w:rPr>
                <w:rFonts w:ascii="Arial" w:eastAsia="Arial" w:hAnsi="Arial" w:cs="Arial"/>
                <w:color w:val="000000"/>
                <w:sz w:val="20"/>
                <w:szCs w:val="20"/>
              </w:rPr>
              <w:t>Conclusion</w:t>
            </w:r>
          </w:p>
        </w:tc>
        <w:tc>
          <w:tcPr>
            <w:tcW w:w="1348" w:type="dxa"/>
            <w:vAlign w:val="center"/>
          </w:tcPr>
          <w:p w14:paraId="696623A8" w14:textId="77777777" w:rsidR="00630DC1"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0E72D733" w14:textId="77777777" w:rsidR="00630DC1"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66B679F8" w14:textId="77777777" w:rsidR="00630DC1"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1721303" w14:textId="77777777" w:rsidR="00630DC1"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10500D7E" w14:textId="77777777" w:rsidR="00630DC1" w:rsidRDefault="00000000">
            <w:pPr>
              <w:spacing w:line="276" w:lineRule="auto"/>
            </w:pPr>
            <w:r>
              <w:rPr>
                <w:rFonts w:ascii="Arial" w:eastAsia="Arial" w:hAnsi="Arial" w:cs="Arial"/>
                <w:color w:val="000000"/>
                <w:sz w:val="20"/>
                <w:szCs w:val="20"/>
              </w:rPr>
              <w:t>No clear or valid conclusions</w:t>
            </w:r>
          </w:p>
        </w:tc>
      </w:tr>
      <w:tr w:rsidR="00630DC1" w14:paraId="129FD514" w14:textId="77777777">
        <w:tc>
          <w:tcPr>
            <w:tcW w:w="1975" w:type="dxa"/>
            <w:vAlign w:val="center"/>
          </w:tcPr>
          <w:p w14:paraId="449BE255" w14:textId="77777777" w:rsidR="00630DC1" w:rsidRDefault="00000000">
            <w:pPr>
              <w:spacing w:line="276" w:lineRule="auto"/>
            </w:pPr>
            <w:r>
              <w:rPr>
                <w:rFonts w:ascii="Arial" w:eastAsia="Arial" w:hAnsi="Arial" w:cs="Arial"/>
                <w:color w:val="000000"/>
                <w:sz w:val="20"/>
                <w:szCs w:val="20"/>
              </w:rPr>
              <w:t>Clarity</w:t>
            </w:r>
          </w:p>
        </w:tc>
        <w:tc>
          <w:tcPr>
            <w:tcW w:w="1348" w:type="dxa"/>
            <w:vAlign w:val="center"/>
          </w:tcPr>
          <w:p w14:paraId="2B46B358" w14:textId="77777777" w:rsidR="00630DC1"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525AEFFD" w14:textId="77777777" w:rsidR="00630DC1"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05B59F85" w14:textId="77777777" w:rsidR="00630DC1"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23B5664B" w14:textId="77777777" w:rsidR="00630DC1"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01220ED6" w14:textId="77777777" w:rsidR="00630DC1" w:rsidRDefault="00000000">
            <w:pPr>
              <w:spacing w:line="276" w:lineRule="auto"/>
            </w:pPr>
            <w:r>
              <w:rPr>
                <w:rFonts w:ascii="Arial" w:eastAsia="Arial" w:hAnsi="Arial" w:cs="Arial"/>
                <w:color w:val="000000"/>
                <w:sz w:val="20"/>
                <w:szCs w:val="20"/>
              </w:rPr>
              <w:t>Poor presentation and difficult to understand</w:t>
            </w:r>
          </w:p>
        </w:tc>
      </w:tr>
    </w:tbl>
    <w:p w14:paraId="18BE0FA0" w14:textId="77777777" w:rsidR="00630DC1" w:rsidRDefault="00630DC1">
      <w:pPr>
        <w:rPr>
          <w:b/>
          <w:bCs/>
          <w:sz w:val="34"/>
          <w:szCs w:val="34"/>
        </w:rPr>
      </w:pPr>
    </w:p>
    <w:sectPr w:rsidR="00630DC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354C9712-5790-4CF2-876A-2F6E103B557B}"/>
  </w:font>
  <w:font w:name="Calibri">
    <w:panose1 w:val="020F0502020204030204"/>
    <w:charset w:val="00"/>
    <w:family w:val="swiss"/>
    <w:pitch w:val="variable"/>
    <w:sig w:usb0="E4002EFF" w:usb1="C200247B" w:usb2="00000009" w:usb3="00000000" w:csb0="000001FF" w:csb1="00000000"/>
    <w:embedRegular r:id="rId2" w:fontKey="{DE5788FD-0CEF-4809-BC82-3A26ADE5F748}"/>
  </w:font>
  <w:font w:name="Cambria">
    <w:panose1 w:val="02040503050406030204"/>
    <w:charset w:val="00"/>
    <w:family w:val="roman"/>
    <w:pitch w:val="variable"/>
    <w:sig w:usb0="E00006FF" w:usb1="420024FF" w:usb2="02000000" w:usb3="00000000" w:csb0="0000019F" w:csb1="00000000"/>
    <w:embedRegular r:id="rId3" w:fontKey="{57235517-1EFE-4289-87F4-0674DE3BDA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DC1"/>
    <w:rsid w:val="00020B91"/>
    <w:rsid w:val="002158F0"/>
    <w:rsid w:val="00312950"/>
    <w:rsid w:val="003F3F5C"/>
    <w:rsid w:val="00475F32"/>
    <w:rsid w:val="00616973"/>
    <w:rsid w:val="00630DC1"/>
    <w:rsid w:val="00755389"/>
    <w:rsid w:val="007E048C"/>
    <w:rsid w:val="00CF0953"/>
    <w:rsid w:val="00D67664"/>
    <w:rsid w:val="00F4514A"/>
    <w:rsid w:val="00F95F49"/>
    <w:rsid w:val="00F97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7DB3"/>
  <w15:docId w15:val="{36D8F91A-6EEB-41A4-9C2D-A7BF1097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69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8</cp:revision>
  <dcterms:created xsi:type="dcterms:W3CDTF">2026-07-10T09:02:00Z</dcterms:created>
  <dcterms:modified xsi:type="dcterms:W3CDTF">2026-08-01T08:43:00Z</dcterms:modified>
  <dc:creator/>
</cp:coreProperties>
</file>