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8076" w14:textId="77777777" w:rsidR="00B31E83" w:rsidRDefault="00000000">
      <w:pPr>
        <w:spacing w:after="22" w:line="259" w:lineRule="auto"/>
        <w:ind w:left="0" w:right="10" w:firstLine="0"/>
        <w:jc w:val="right"/>
      </w:pPr>
      <w:r>
        <w:rPr>
          <w:noProof/>
        </w:rPr>
        <w:drawing>
          <wp:inline distT="0" distB="0" distL="0" distR="0" wp14:anchorId="659AC6EB" wp14:editId="7DCE1516">
            <wp:extent cx="5940553" cy="707136"/>
            <wp:effectExtent l="0" t="0" r="0" b="0"/>
            <wp:docPr id="41514" name="Picture 41514"/>
            <wp:cNvGraphicFramePr/>
            <a:graphic xmlns:a="http://schemas.openxmlformats.org/drawingml/2006/main">
              <a:graphicData uri="http://schemas.openxmlformats.org/drawingml/2006/picture">
                <pic:pic xmlns:pic="http://schemas.openxmlformats.org/drawingml/2006/picture">
                  <pic:nvPicPr>
                    <pic:cNvPr id="41514" name="Picture 41514"/>
                    <pic:cNvPicPr/>
                  </pic:nvPicPr>
                  <pic:blipFill>
                    <a:blip r:embed="rId7"/>
                    <a:stretch>
                      <a:fillRect/>
                    </a:stretch>
                  </pic:blipFill>
                  <pic:spPr>
                    <a:xfrm>
                      <a:off x="0" y="0"/>
                      <a:ext cx="5940553" cy="707136"/>
                    </a:xfrm>
                    <a:prstGeom prst="rect">
                      <a:avLst/>
                    </a:prstGeom>
                  </pic:spPr>
                </pic:pic>
              </a:graphicData>
            </a:graphic>
          </wp:inline>
        </w:drawing>
      </w:r>
      <w:r>
        <w:rPr>
          <w:rFonts w:ascii="Garamond" w:eastAsia="Garamond" w:hAnsi="Garamond" w:cs="Garamond"/>
          <w:b/>
          <w:sz w:val="32"/>
        </w:rPr>
        <w:t xml:space="preserve"> </w:t>
      </w:r>
    </w:p>
    <w:p w14:paraId="3D0E1273" w14:textId="77777777" w:rsidR="00B31E83" w:rsidRDefault="00000000">
      <w:pPr>
        <w:spacing w:after="0" w:line="259" w:lineRule="auto"/>
        <w:ind w:left="25" w:right="0" w:firstLine="0"/>
        <w:jc w:val="center"/>
      </w:pPr>
      <w:r>
        <w:rPr>
          <w:rFonts w:ascii="Garamond" w:eastAsia="Garamond" w:hAnsi="Garamond" w:cs="Garamond"/>
          <w:b/>
          <w:sz w:val="48"/>
        </w:rPr>
        <w:t xml:space="preserve"> </w:t>
      </w:r>
    </w:p>
    <w:p w14:paraId="5FE6889D" w14:textId="77777777" w:rsidR="00B31E83" w:rsidRDefault="00000000">
      <w:pPr>
        <w:spacing w:after="0" w:line="259" w:lineRule="auto"/>
        <w:ind w:right="94"/>
        <w:jc w:val="center"/>
      </w:pPr>
      <w:r>
        <w:rPr>
          <w:rFonts w:ascii="Garamond" w:hAnsi="Garamond"/>
          <w:b/>
          <w:i w:val="0"/>
          <w:sz w:val="44"/>
        </w:rPr>
        <w:t>Mini Project Report</w:t>
      </w:r>
    </w:p>
    <w:p w14:paraId="2A13C9C6" w14:textId="77777777" w:rsidR="00B31E83" w:rsidRDefault="00000000">
      <w:pPr>
        <w:spacing w:after="32" w:line="259" w:lineRule="auto"/>
        <w:ind w:right="97"/>
        <w:jc w:val="center"/>
      </w:pPr>
      <w:r>
        <w:rPr>
          <w:rFonts w:ascii="Garamond" w:eastAsia="Garamond" w:hAnsi="Garamond" w:cs="Garamond"/>
          <w:b/>
          <w:sz w:val="36"/>
        </w:rPr>
        <w:t xml:space="preserve">of </w:t>
      </w:r>
    </w:p>
    <w:p w14:paraId="5430897E" w14:textId="127D5EE3" w:rsidR="00B31E83" w:rsidRDefault="00A818D7">
      <w:pPr>
        <w:pStyle w:val="Heading1"/>
        <w:spacing w:after="0" w:line="259" w:lineRule="auto"/>
      </w:pPr>
      <w:r>
        <w:rPr>
          <w:rFonts w:ascii="Garamond" w:hAnsi="Garamond"/>
          <w:b/>
          <w:i w:val="0"/>
          <w:sz w:val="40"/>
        </w:rPr>
        <w:t>Machine Learning (CSE 3125)</w:t>
      </w:r>
    </w:p>
    <w:p w14:paraId="65179B6F" w14:textId="77777777" w:rsidR="00B31E83" w:rsidRDefault="00000000">
      <w:pPr>
        <w:spacing w:after="40" w:line="259" w:lineRule="auto"/>
        <w:ind w:left="25" w:right="0" w:firstLine="0"/>
        <w:jc w:val="center"/>
      </w:pPr>
      <w:r>
        <w:rPr>
          <w:rFonts w:ascii="Garamond" w:eastAsia="Garamond" w:hAnsi="Garamond" w:cs="Garamond"/>
          <w:b/>
          <w:sz w:val="16"/>
        </w:rPr>
        <w:t xml:space="preserve"> </w:t>
      </w:r>
    </w:p>
    <w:p w14:paraId="55B2EA68" w14:textId="77777777" w:rsidR="00B31E83" w:rsidRDefault="00000000">
      <w:pPr>
        <w:spacing w:after="40" w:line="259" w:lineRule="auto"/>
        <w:ind w:left="25" w:right="0" w:firstLine="0"/>
        <w:jc w:val="center"/>
      </w:pPr>
      <w:r>
        <w:rPr>
          <w:rFonts w:ascii="Garamond" w:eastAsia="Garamond" w:hAnsi="Garamond" w:cs="Garamond"/>
          <w:b/>
          <w:sz w:val="16"/>
        </w:rPr>
        <w:t xml:space="preserve"> </w:t>
      </w:r>
    </w:p>
    <w:p w14:paraId="4BD78600" w14:textId="77777777" w:rsidR="00B31E83" w:rsidRDefault="00000000">
      <w:pPr>
        <w:spacing w:after="40" w:line="259" w:lineRule="auto"/>
        <w:ind w:left="25" w:right="0" w:firstLine="0"/>
        <w:jc w:val="center"/>
      </w:pPr>
      <w:r>
        <w:rPr>
          <w:rFonts w:ascii="Garamond" w:eastAsia="Garamond" w:hAnsi="Garamond" w:cs="Garamond"/>
          <w:b/>
          <w:sz w:val="16"/>
        </w:rPr>
        <w:t xml:space="preserve"> </w:t>
      </w:r>
    </w:p>
    <w:p w14:paraId="3D48E2DC" w14:textId="40E9C43B" w:rsidR="00B31E83" w:rsidRDefault="005F3FF3" w:rsidP="005F3FF3">
      <w:pPr>
        <w:spacing w:after="0" w:line="259" w:lineRule="auto"/>
        <w:ind w:left="199" w:right="0" w:firstLine="0"/>
        <w:jc w:val="center"/>
      </w:pPr>
      <w:r>
        <w:rPr>
          <w:rFonts w:ascii="Garamond" w:hAnsi="Garamond"/>
          <w:b/>
          <w:i w:val="0"/>
          <w:sz w:val="34"/>
        </w:rPr>
        <w:t>AI-Based Summarization and Clause Classification of Indian Legal Documents Using NLP and Transformer Models</w:t>
      </w:r>
    </w:p>
    <w:p w14:paraId="3033DEE0" w14:textId="77777777" w:rsidR="00B31E83" w:rsidRDefault="00000000">
      <w:pPr>
        <w:spacing w:after="40" w:line="259" w:lineRule="auto"/>
        <w:ind w:left="0" w:right="15" w:firstLine="0"/>
        <w:jc w:val="center"/>
      </w:pPr>
      <w:r>
        <w:rPr>
          <w:rFonts w:ascii="Garamond" w:eastAsia="Garamond" w:hAnsi="Garamond" w:cs="Garamond"/>
          <w:b/>
          <w:sz w:val="16"/>
        </w:rPr>
        <w:t xml:space="preserve"> </w:t>
      </w:r>
    </w:p>
    <w:p w14:paraId="50F9FFC1" w14:textId="77777777" w:rsidR="00B31E83" w:rsidRDefault="00000000">
      <w:pPr>
        <w:spacing w:after="40" w:line="259" w:lineRule="auto"/>
        <w:ind w:left="0" w:right="0" w:firstLine="0"/>
        <w:jc w:val="left"/>
      </w:pPr>
      <w:r>
        <w:rPr>
          <w:rFonts w:ascii="Garamond" w:eastAsia="Garamond" w:hAnsi="Garamond" w:cs="Garamond"/>
          <w:b/>
          <w:sz w:val="16"/>
        </w:rPr>
        <w:t xml:space="preserve"> </w:t>
      </w:r>
    </w:p>
    <w:p w14:paraId="21D57ACA" w14:textId="77777777" w:rsidR="00B31E83" w:rsidRDefault="00000000">
      <w:pPr>
        <w:spacing w:after="40" w:line="259" w:lineRule="auto"/>
        <w:ind w:left="0" w:right="15" w:firstLine="0"/>
        <w:jc w:val="center"/>
      </w:pPr>
      <w:r>
        <w:rPr>
          <w:rFonts w:ascii="Garamond" w:eastAsia="Garamond" w:hAnsi="Garamond" w:cs="Garamond"/>
          <w:b/>
          <w:sz w:val="16"/>
        </w:rPr>
        <w:t xml:space="preserve"> </w:t>
      </w:r>
    </w:p>
    <w:p w14:paraId="15D44B89" w14:textId="77777777" w:rsidR="00B31E83" w:rsidRDefault="00000000">
      <w:pPr>
        <w:spacing w:after="0" w:line="259" w:lineRule="auto"/>
        <w:ind w:right="101"/>
        <w:jc w:val="center"/>
      </w:pPr>
      <w:r>
        <w:rPr>
          <w:rFonts w:ascii="Garamond" w:eastAsia="Garamond" w:hAnsi="Garamond" w:cs="Garamond"/>
          <w:b/>
          <w:sz w:val="32"/>
        </w:rPr>
        <w:t xml:space="preserve">SUBMITTED </w:t>
      </w:r>
    </w:p>
    <w:p w14:paraId="0C628A6F" w14:textId="77777777" w:rsidR="00B31E83" w:rsidRDefault="00000000">
      <w:pPr>
        <w:spacing w:after="0" w:line="259" w:lineRule="auto"/>
        <w:ind w:right="97"/>
        <w:jc w:val="center"/>
      </w:pPr>
      <w:r>
        <w:rPr>
          <w:rFonts w:ascii="Garamond" w:eastAsia="Garamond" w:hAnsi="Garamond" w:cs="Garamond"/>
          <w:b/>
          <w:sz w:val="32"/>
        </w:rPr>
        <w:t xml:space="preserve">BY </w:t>
      </w:r>
    </w:p>
    <w:p w14:paraId="3B6578A0" w14:textId="77777777" w:rsidR="00B31E83" w:rsidRDefault="00000000">
      <w:pPr>
        <w:spacing w:after="40" w:line="259" w:lineRule="auto"/>
        <w:ind w:left="0" w:right="0" w:firstLine="0"/>
        <w:jc w:val="left"/>
      </w:pPr>
      <w:r>
        <w:rPr>
          <w:rFonts w:ascii="Garamond" w:eastAsia="Garamond" w:hAnsi="Garamond" w:cs="Garamond"/>
          <w:b/>
          <w:sz w:val="16"/>
        </w:rPr>
        <w:t xml:space="preserve"> </w:t>
      </w:r>
    </w:p>
    <w:tbl>
      <w:tblPr>
        <w:tblStyle w:val="TableGrid"/>
        <w:tblW w:w="8334" w:type="dxa"/>
        <w:tblInd w:w="514" w:type="dxa"/>
        <w:tblCellMar>
          <w:top w:w="62" w:type="dxa"/>
          <w:left w:w="120" w:type="dxa"/>
          <w:bottom w:w="0" w:type="dxa"/>
          <w:right w:w="65" w:type="dxa"/>
        </w:tblCellMar>
        <w:tblLook w:val="04A0" w:firstRow="1" w:lastRow="0" w:firstColumn="1" w:lastColumn="0" w:noHBand="0" w:noVBand="1"/>
      </w:tblPr>
      <w:tblGrid>
        <w:gridCol w:w="2662"/>
        <w:gridCol w:w="1560"/>
        <w:gridCol w:w="992"/>
        <w:gridCol w:w="2129"/>
        <w:gridCol w:w="991"/>
      </w:tblGrid>
      <w:tr w:rsidR="00B31E83" w14:paraId="50EA0543" w14:textId="77777777">
        <w:trPr>
          <w:trHeight w:val="562"/>
        </w:trPr>
        <w:tc>
          <w:tcPr>
            <w:tcW w:w="2662" w:type="dxa"/>
            <w:tcBorders>
              <w:top w:val="single" w:sz="4" w:space="0" w:color="000000"/>
              <w:left w:val="single" w:sz="4" w:space="0" w:color="000000"/>
              <w:bottom w:val="single" w:sz="4" w:space="0" w:color="000000"/>
              <w:right w:val="single" w:sz="4" w:space="0" w:color="000000"/>
            </w:tcBorders>
            <w:vAlign w:val="center"/>
          </w:tcPr>
          <w:p w14:paraId="3ED163B9" w14:textId="77777777" w:rsidR="00B31E83" w:rsidRDefault="00000000">
            <w:pPr>
              <w:spacing w:after="0" w:line="259" w:lineRule="auto"/>
              <w:ind w:left="0" w:right="53" w:firstLine="0"/>
              <w:jc w:val="center"/>
            </w:pPr>
            <w:r>
              <w:rPr>
                <w:rFonts w:ascii="Garamond" w:hAnsi="Garamond"/>
                <w:b/>
                <w:sz w:val="20"/>
              </w:rPr>
              <w:t xml:space="preserve">Name </w:t>
            </w:r>
          </w:p>
        </w:tc>
        <w:tc>
          <w:tcPr>
            <w:tcW w:w="1560" w:type="dxa"/>
            <w:tcBorders>
              <w:top w:val="single" w:sz="4" w:space="0" w:color="000000"/>
              <w:left w:val="single" w:sz="4" w:space="0" w:color="000000"/>
              <w:bottom w:val="single" w:sz="4" w:space="0" w:color="000000"/>
              <w:right w:val="single" w:sz="4" w:space="0" w:color="000000"/>
            </w:tcBorders>
            <w:vAlign w:val="center"/>
          </w:tcPr>
          <w:p w14:paraId="01EB82A2" w14:textId="77777777" w:rsidR="00B31E83" w:rsidRDefault="00000000">
            <w:pPr>
              <w:spacing w:after="0" w:line="259" w:lineRule="auto"/>
              <w:ind w:left="0" w:right="0" w:firstLine="0"/>
              <w:jc w:val="center"/>
            </w:pPr>
            <w:r>
              <w:rPr>
                <w:rFonts w:ascii="Garamond" w:hAnsi="Garamond"/>
                <w:b/>
                <w:sz w:val="20"/>
              </w:rPr>
              <w:t xml:space="preserve">Registration No </w:t>
            </w:r>
          </w:p>
        </w:tc>
        <w:tc>
          <w:tcPr>
            <w:tcW w:w="992" w:type="dxa"/>
            <w:tcBorders>
              <w:top w:val="single" w:sz="4" w:space="0" w:color="000000"/>
              <w:left w:val="single" w:sz="4" w:space="0" w:color="000000"/>
              <w:bottom w:val="single" w:sz="4" w:space="0" w:color="000000"/>
              <w:right w:val="single" w:sz="4" w:space="0" w:color="000000"/>
            </w:tcBorders>
            <w:vAlign w:val="center"/>
          </w:tcPr>
          <w:p w14:paraId="42FF2CD6" w14:textId="77777777" w:rsidR="00B31E83" w:rsidRDefault="00000000">
            <w:pPr>
              <w:spacing w:after="0" w:line="259" w:lineRule="auto"/>
              <w:ind w:left="14" w:right="13" w:firstLine="0"/>
              <w:jc w:val="center"/>
            </w:pPr>
            <w:r>
              <w:rPr>
                <w:rFonts w:ascii="Garamond" w:hAnsi="Garamond"/>
                <w:b/>
                <w:sz w:val="20"/>
              </w:rPr>
              <w:t xml:space="preserve">Roll No </w:t>
            </w:r>
          </w:p>
        </w:tc>
        <w:tc>
          <w:tcPr>
            <w:tcW w:w="2129" w:type="dxa"/>
            <w:tcBorders>
              <w:top w:val="single" w:sz="4" w:space="0" w:color="000000"/>
              <w:left w:val="single" w:sz="4" w:space="0" w:color="000000"/>
              <w:bottom w:val="single" w:sz="4" w:space="0" w:color="000000"/>
              <w:right w:val="single" w:sz="4" w:space="0" w:color="000000"/>
            </w:tcBorders>
            <w:vAlign w:val="center"/>
          </w:tcPr>
          <w:p w14:paraId="5267D91F" w14:textId="77777777" w:rsidR="00B31E83" w:rsidRDefault="00000000">
            <w:pPr>
              <w:spacing w:after="0" w:line="259" w:lineRule="auto"/>
              <w:ind w:left="0" w:right="0" w:firstLine="0"/>
              <w:jc w:val="center"/>
            </w:pPr>
            <w:r>
              <w:rPr>
                <w:rFonts w:ascii="Garamond" w:hAnsi="Garamond"/>
                <w:b/>
                <w:sz w:val="20"/>
              </w:rPr>
              <w:t xml:space="preserve">Semester &amp; Branch </w:t>
            </w:r>
          </w:p>
        </w:tc>
        <w:tc>
          <w:tcPr>
            <w:tcW w:w="991" w:type="dxa"/>
            <w:tcBorders>
              <w:top w:val="single" w:sz="4" w:space="0" w:color="000000"/>
              <w:left w:val="single" w:sz="4" w:space="0" w:color="000000"/>
              <w:bottom w:val="single" w:sz="4" w:space="0" w:color="000000"/>
              <w:right w:val="single" w:sz="4" w:space="0" w:color="000000"/>
            </w:tcBorders>
            <w:vAlign w:val="center"/>
          </w:tcPr>
          <w:p w14:paraId="750160C3" w14:textId="77777777" w:rsidR="00B31E83" w:rsidRDefault="00000000">
            <w:pPr>
              <w:spacing w:after="0" w:line="259" w:lineRule="auto"/>
              <w:ind w:left="0" w:right="0" w:firstLine="0"/>
              <w:jc w:val="left"/>
            </w:pPr>
            <w:r>
              <w:rPr>
                <w:rFonts w:ascii="Garamond" w:hAnsi="Garamond"/>
                <w:b/>
                <w:sz w:val="20"/>
              </w:rPr>
              <w:t xml:space="preserve">Section </w:t>
            </w:r>
          </w:p>
        </w:tc>
      </w:tr>
      <w:tr w:rsidR="00B31E83" w14:paraId="68BF8473" w14:textId="77777777">
        <w:trPr>
          <w:trHeight w:val="310"/>
        </w:trPr>
        <w:tc>
          <w:tcPr>
            <w:tcW w:w="2662"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Vedant jitani</w:t>
            </w:r>
          </w:p>
        </w:tc>
        <w:tc>
          <w:tcPr>
            <w:tcW w:w="1560"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240962492</w:t>
            </w:r>
          </w:p>
        </w:tc>
        <w:tc>
          <w:tcPr>
            <w:tcW w:w="992"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41</w:t>
            </w:r>
          </w:p>
        </w:tc>
        <w:tc>
          <w:tcPr>
            <w:tcW w:w="2129"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V, CSE (AI &amp; ML)</w:t>
            </w:r>
          </w:p>
        </w:tc>
        <w:tc>
          <w:tcPr>
            <w:tcW w:w="991"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C</w:t>
            </w:r>
          </w:p>
        </w:tc>
      </w:tr>
      <w:tr w:rsidR="00B31E83" w14:paraId="2A34DE5A" w14:textId="77777777">
        <w:trPr>
          <w:trHeight w:val="310"/>
        </w:trPr>
        <w:tc>
          <w:tcPr>
            <w:tcW w:w="2662"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[STUDENT 2 NAME]</w:t>
            </w:r>
          </w:p>
        </w:tc>
        <w:tc>
          <w:tcPr>
            <w:tcW w:w="1560"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[REGISTRATION 2]</w:t>
            </w:r>
          </w:p>
        </w:tc>
        <w:tc>
          <w:tcPr>
            <w:tcW w:w="992"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[ROLL 2]</w:t>
            </w:r>
          </w:p>
        </w:tc>
        <w:tc>
          <w:tcPr>
            <w:tcW w:w="2129"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[SEMESTER &amp; BRANCH 2]</w:t>
            </w:r>
          </w:p>
        </w:tc>
        <w:tc>
          <w:tcPr>
            <w:tcW w:w="991"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[SECTION 2]</w:t>
            </w:r>
          </w:p>
        </w:tc>
      </w:tr>
      <w:tr w:rsidR="00A818D7" w14:paraId="35075D79" w14:textId="77777777">
        <w:trPr>
          <w:trHeight w:val="310"/>
        </w:trPr>
        <w:tc>
          <w:tcPr>
            <w:tcW w:w="2662"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[STUDENT 3 NAME]</w:t>
            </w:r>
          </w:p>
        </w:tc>
        <w:tc>
          <w:tcPr>
            <w:tcW w:w="1560"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[REGISTRATION 3]</w:t>
            </w:r>
          </w:p>
        </w:tc>
        <w:tc>
          <w:tcPr>
            <w:tcW w:w="992"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[ROLL 3]</w:t>
            </w:r>
          </w:p>
        </w:tc>
        <w:tc>
          <w:tcPr>
            <w:tcW w:w="2129"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[SEMESTER &amp; BRANCH 3]</w:t>
            </w:r>
          </w:p>
        </w:tc>
        <w:tc>
          <w:tcPr>
            <w:tcW w:w="991" w:type="dxa"/>
            <w:tcBorders>
              <w:top w:val="single" w:sz="4" w:space="0" w:color="000000"/>
              <w:left w:val="single" w:sz="4" w:space="0" w:color="000000"/>
              <w:bottom w:val="single" w:sz="4" w:space="0" w:color="000000"/>
              <w:right w:val="single" w:sz="4" w:space="0" w:color="000000"/>
            </w:tcBorders>
            <w:vAlign w:val="center"/>
          </w:tcPr>
          <w:p>
            <w:pPr>
              <w:jc w:val="center"/>
            </w:pPr>
            <w:r>
              <w:rPr>
                <w:rFonts w:ascii="Garamond" w:hAnsi="Garamond"/>
                <w:sz w:val="17"/>
              </w:rPr>
              <w:t>[SECTION 3]</w:t>
            </w:r>
          </w:p>
        </w:tc>
      </w:tr>
    </w:tbl>
    <w:p w14:paraId="2C4C4533" w14:textId="05078FBF" w:rsidR="00933828" w:rsidRPr="00933828" w:rsidRDefault="00000000">
      <w:pPr>
        <w:spacing w:after="40" w:line="259" w:lineRule="auto"/>
        <w:ind w:left="0" w:right="0" w:firstLine="0"/>
        <w:jc w:val="left"/>
        <w:rPr>
          <w:rFonts w:ascii="Garamond" w:eastAsia="Garamond" w:hAnsi="Garamond" w:cs="Garamond"/>
          <w:sz w:val="40"/>
        </w:rPr>
      </w:pPr>
      <w:r>
        <w:rPr>
          <w:rFonts w:ascii="Garamond" w:eastAsia="Garamond" w:hAnsi="Garamond" w:cs="Garamond"/>
          <w:sz w:val="16"/>
        </w:rPr>
        <w:t xml:space="preserve"> </w:t>
      </w:r>
    </w:p>
    <w:p w14:paraId="18E46BEB" w14:textId="53CEAAE9" w:rsidR="00B31E83" w:rsidRPr="00933828" w:rsidRDefault="00933828" w:rsidP="00933828">
      <w:pPr>
        <w:spacing w:after="0" w:line="259" w:lineRule="auto"/>
        <w:ind w:left="0" w:right="0" w:firstLine="0"/>
        <w:jc w:val="center"/>
        <w:rPr>
          <w:sz w:val="28"/>
          <w:szCs w:val="28"/>
        </w:rPr>
      </w:pPr>
      <w:r>
        <w:rPr>
          <w:rFonts w:ascii="Garamond" w:hAnsi="Garamond"/>
          <w:b/>
          <w:i w:val="0"/>
          <w:sz w:val="22"/>
        </w:rPr>
        <w:t>Guide(s): [CONFIRM NAME(S), SPELLING AND DESIGNATION]</w:t>
      </w:r>
    </w:p>
    <w:p w14:paraId="733E42F2" w14:textId="77777777" w:rsidR="005F3FF3" w:rsidRDefault="005F3FF3">
      <w:pPr>
        <w:spacing w:after="5" w:line="259" w:lineRule="auto"/>
        <w:ind w:left="0" w:right="0" w:firstLine="0"/>
        <w:jc w:val="left"/>
        <w:rPr>
          <w:rFonts w:ascii="Garamond" w:eastAsia="Garamond" w:hAnsi="Garamond" w:cs="Garamond"/>
          <w:b/>
          <w:sz w:val="32"/>
        </w:rPr>
      </w:pPr>
      <w:r>
        <w:rPr>
          <w:rFonts w:ascii="Garamond" w:hAnsi="Garamond"/>
          <w:i w:val="0"/>
          <w:sz w:val="18"/>
        </w:rPr>
        <w:t>Synopsis: Dr. Rani Ooman Panicker; Dr. H Satyajeet Sharma</w:t>
      </w:r>
    </w:p>
    <w:p w14:paraId="78F08194" w14:textId="77777777" w:rsidR="005F3FF3" w:rsidRDefault="005F3FF3">
      <w:pPr>
        <w:spacing w:after="5" w:line="259" w:lineRule="auto"/>
        <w:ind w:left="0" w:right="0" w:firstLine="0"/>
        <w:jc w:val="left"/>
        <w:rPr>
          <w:rFonts w:ascii="Garamond" w:eastAsia="Garamond" w:hAnsi="Garamond" w:cs="Garamond"/>
          <w:b/>
          <w:sz w:val="32"/>
        </w:rPr>
      </w:pPr>
      <w:r>
        <w:rPr>
          <w:rFonts w:ascii="Garamond" w:hAnsi="Garamond"/>
          <w:i w:val="0"/>
          <w:sz w:val="18"/>
        </w:rPr>
        <w:t>Front-page source: Dr. Rani Oomman Panicker</w:t>
      </w:r>
    </w:p>
    <w:p w14:paraId="4B11C0CD" w14:textId="77777777" w:rsidR="00933828" w:rsidRDefault="00933828">
      <w:pPr>
        <w:spacing w:after="40" w:line="259" w:lineRule="auto"/>
        <w:ind w:left="0" w:right="0" w:firstLine="0"/>
        <w:jc w:val="left"/>
        <w:rPr>
          <w:rFonts w:ascii="Garamond" w:eastAsia="Garamond" w:hAnsi="Garamond" w:cs="Garamond"/>
          <w:b/>
          <w:sz w:val="32"/>
        </w:rPr>
      </w:pPr>
    </w:p>
    <w:p w14:paraId="41A56524" w14:textId="77777777" w:rsidR="005F3FF3" w:rsidRDefault="005F3FF3">
      <w:pPr>
        <w:spacing w:after="40" w:line="259" w:lineRule="auto"/>
        <w:ind w:left="0" w:right="0" w:firstLine="0"/>
        <w:jc w:val="left"/>
        <w:rPr>
          <w:rFonts w:ascii="Garamond" w:eastAsia="Garamond" w:hAnsi="Garamond" w:cs="Garamond"/>
          <w:b/>
          <w:sz w:val="32"/>
        </w:rPr>
      </w:pPr>
    </w:p>
    <w:p w14:paraId="0E0CCF65" w14:textId="77777777" w:rsidR="00B31E83" w:rsidRDefault="00000000">
      <w:pPr>
        <w:spacing w:after="0" w:line="259" w:lineRule="auto"/>
        <w:ind w:right="97"/>
        <w:jc w:val="center"/>
      </w:pPr>
      <w:r>
        <w:rPr>
          <w:rFonts w:ascii="Garamond" w:eastAsia="Garamond" w:hAnsi="Garamond" w:cs="Garamond"/>
          <w:b/>
          <w:sz w:val="36"/>
        </w:rPr>
        <w:t xml:space="preserve">School of Computer Engineering </w:t>
      </w:r>
    </w:p>
    <w:p w14:paraId="1C7D11F0" w14:textId="77777777" w:rsidR="00B31E83" w:rsidRDefault="00000000">
      <w:pPr>
        <w:spacing w:after="0" w:line="259" w:lineRule="auto"/>
        <w:ind w:right="99"/>
        <w:jc w:val="center"/>
      </w:pPr>
      <w:r>
        <w:rPr>
          <w:rFonts w:ascii="Garamond" w:eastAsia="Garamond" w:hAnsi="Garamond" w:cs="Garamond"/>
          <w:b/>
          <w:sz w:val="36"/>
        </w:rPr>
        <w:t xml:space="preserve">Manipal Institute of Technology, Manipal. </w:t>
      </w:r>
    </w:p>
    <w:p w14:paraId="0525D92A" w14:textId="420725F8" w:rsidR="00B31E83" w:rsidRDefault="005F3FF3">
      <w:pPr>
        <w:spacing w:after="0" w:line="259" w:lineRule="auto"/>
        <w:ind w:right="94"/>
        <w:jc w:val="center"/>
      </w:pPr>
      <w:r>
        <w:rPr>
          <w:rFonts w:ascii="Garamond" w:hAnsi="Garamond"/>
          <w:b/>
          <w:i w:val="0"/>
          <w:sz w:val="32"/>
        </w:rPr>
        <w:t>October 2026  |  Academic Year 2026–27</w:t>
      </w:r>
    </w:p>
    <w:p>
      <w:pPr>
        <w:sectPr>
          <w:headerReference w:type="even" r:id="rId8"/>
          <w:headerReference w:type="default" r:id="rId9"/>
          <w:footerReference w:type="even" r:id="rId10"/>
          <w:footerReference w:type="default" r:id="rId11"/>
          <w:headerReference w:type="first" r:id="rId12"/>
          <w:footerReference w:type="first" r:id="rId13"/>
          <w:pgSz w:w="12240" w:h="15840"/>
          <w:pgMar w:top="1441" w:right="1343" w:bottom="1441" w:left="1440" w:header="480" w:footer="478" w:gutter="0"/>
          <w:cols w:space="720"/>
          <w:pgBorders w:offsetFrom="page">
            <w:top w:val="single" w:sz="8" w:space="24" w:color="000000"/>
            <w:left w:val="single" w:sz="8" w:space="24" w:color="000000"/>
            <w:bottom w:val="single" w:sz="8" w:space="24" w:color="000000"/>
            <w:right w:val="single" w:sz="8" w:space="24" w:color="000000"/>
          </w:pgBorders>
        </w:sectPr>
      </w:pPr>
    </w:p>
    <w:p>
      <w:pPr>
        <w:pStyle w:val="papertitle"/>
        <w:spacing w:after="200"/>
        <w:jc w:val="center"/>
      </w:pPr>
      <w:r>
        <w:t>AI-Based Summarization and Clause Classification of Indian Legal Documents Using NLP and Transformer Models</w:t>
      </w:r>
    </w:p>
    <w:tbl>
      <w:tblPr>
        <w:tblW w:type="auto" w:w="0"/>
        <w:jc w:val="center"/>
        <w:tblLook w:firstColumn="1" w:firstRow="1" w:lastColumn="0" w:lastRow="0" w:noHBand="0" w:noVBand="1" w:val="04A0"/>
      </w:tblPr>
      <w:tblGrid>
        <w:gridCol w:w="3273"/>
        <w:gridCol w:w="3273"/>
        <w:gridCol w:w="3273"/>
      </w:tblGrid>
      <w:tr>
        <w:tc>
          <w:tcPr>
            <w:tcW w:type="dxa" w:w="3273"/>
            <w:vAlign w:val="center"/>
          </w:tcPr>
          <w:p>
            <w:pPr>
              <w:jc w:val="center"/>
            </w:pPr>
            <w:r>
              <w:rPr>
                <w:rFonts w:ascii="Times New Roman" w:hAnsi="Times New Roman"/>
                <w:b/>
                <w:sz w:val="16"/>
              </w:rPr>
              <w:t>Vedant jitani</w:t>
            </w:r>
          </w:p>
        </w:tc>
        <w:tc>
          <w:tcPr>
            <w:tcW w:type="dxa" w:w="3273"/>
            <w:vAlign w:val="center"/>
          </w:tcPr>
          <w:p>
            <w:pPr>
              <w:jc w:val="center"/>
            </w:pPr>
            <w:r>
              <w:rPr>
                <w:rFonts w:ascii="Times New Roman" w:hAnsi="Times New Roman"/>
                <w:b/>
                <w:sz w:val="16"/>
              </w:rPr>
              <w:t>[STUDENT 2 NAME]</w:t>
            </w:r>
          </w:p>
        </w:tc>
        <w:tc>
          <w:tcPr>
            <w:tcW w:type="dxa" w:w="3273"/>
            <w:vAlign w:val="center"/>
          </w:tcPr>
          <w:p>
            <w:pPr>
              <w:jc w:val="center"/>
            </w:pPr>
            <w:r>
              <w:rPr>
                <w:rFonts w:ascii="Times New Roman" w:hAnsi="Times New Roman"/>
                <w:b/>
                <w:sz w:val="16"/>
              </w:rPr>
              <w:t>[STUDENT 3 NAME]</w:t>
            </w:r>
          </w:p>
        </w:tc>
      </w:tr>
      <w:tr>
        <w:tc>
          <w:tcPr>
            <w:tcW w:type="dxa" w:w="3273"/>
            <w:vAlign w:val="center"/>
          </w:tcPr>
          <w:p>
            <w:pPr>
              <w:spacing w:after="0"/>
              <w:jc w:val="center"/>
            </w:pPr>
            <w:r>
              <w:rPr>
                <w:rFonts w:ascii="Times New Roman" w:hAnsi="Times New Roman"/>
                <w:sz w:val="15"/>
              </w:rPr>
              <w:t>MIT Manipal</w:t>
              <w:br/>
              <w:t>Reg. 240962492</w:t>
            </w:r>
          </w:p>
        </w:tc>
        <w:tc>
          <w:tcPr>
            <w:tcW w:type="dxa" w:w="3273"/>
            <w:vAlign w:val="center"/>
          </w:tcPr>
          <w:p>
            <w:pPr>
              <w:spacing w:after="0"/>
              <w:jc w:val="center"/>
            </w:pPr>
            <w:r>
              <w:rPr>
                <w:rFonts w:ascii="Times New Roman" w:hAnsi="Times New Roman"/>
                <w:sz w:val="15"/>
              </w:rPr>
              <w:t>MIT Manipal</w:t>
              <w:br/>
              <w:t>[REGISTRATION 2]</w:t>
            </w:r>
          </w:p>
        </w:tc>
        <w:tc>
          <w:tcPr>
            <w:tcW w:type="dxa" w:w="3273"/>
            <w:vAlign w:val="center"/>
          </w:tcPr>
          <w:p>
            <w:pPr>
              <w:spacing w:after="0"/>
              <w:jc w:val="center"/>
            </w:pPr>
            <w:r>
              <w:rPr>
                <w:rFonts w:ascii="Times New Roman" w:hAnsi="Times New Roman"/>
                <w:sz w:val="15"/>
              </w:rPr>
              <w:t>MIT Manipal</w:t>
              <w:br/>
              <w:t>[REGISTRATION 3]</w:t>
            </w:r>
          </w:p>
        </w:tc>
      </w:tr>
    </w:tbl>
    <w:p>
      <w:pPr>
        <w:pStyle w:val="Abstract"/>
      </w:pPr>
      <w:r>
        <w:t>Abstract - Long court judgments and commercial agreements are difficult to scan quickly, yet automated outputs can omit controlling facts or misidentify clauses. This project implements two separate tasks in one local interface: summarization of Indian Supreme Court judgments and multi-label classification of English commercial contract passages. For summarization, IN-Abs supplies judgment–headnote pairs. A full-document TF-IDF and maximum-marginal-relevance selector provides an extractive baseline and supplies bounded context to a fine-tuned T5-small generator. For classification, eight CUAD question-answer span categories are converted to passage labels; a TF-IDF logistic-regression baseline is compared with a fine-tuned LEGAL-BERT-small classifier. Documents are separated before segmentation, duplicate groups are audited, and validation selects model settings without test data. In the executed CPU pilot, LEGAL-BERT reached 0.447 macro F1 versus 0.385 for logistic regression on 2,404 held-out passages. The extractive summary baseline achieved ROUGE-1/2/L F1 of 0.216/0.120/0.145, above T5 at 0.149/0.080/0.105 on twenty judgments. These limited results support a working demonstration, not Indian-contract accuracy or legally faithful automated advice.</w:t>
      </w:r>
    </w:p>
    <w:p>
      <w:pPr>
        <w:pStyle w:val="Abstract"/>
      </w:pPr>
      <w:r>
        <w:t>Index Terms - clause classification, Indian judgments, legal natural language processing, multi-label learning, summarization</w:t>
      </w:r>
    </w:p>
    <w:p>
      <w:pPr>
        <w:sectPr>
          <w:headerReference w:type="default" r:id="rId16"/>
          <w:headerReference w:type="even" r:id="rId17"/>
          <w:headerReference w:type="first" r:id="rId18"/>
          <w:footerReference w:type="default" r:id="rId19"/>
          <w:footerReference w:type="even" r:id="rId20"/>
          <w:footerReference w:type="first" r:id="rId21"/>
          <w:pgSz w:w="12240" w:h="15840"/>
          <w:pgMar w:top="1440" w:right="1210" w:bottom="1440" w:left="1210" w:header="480" w:footer="478" w:gutter="0"/>
          <w:cols w:space="720" w:num="1"/>
        </w:sectPr>
      </w:pPr>
    </w:p>
    <w:p>
      <w:pPr>
        <w:pStyle w:val="Heading1"/>
        <w:keepNext/>
      </w:pPr>
      <w:r>
        <w:t>Introduction</w:t>
      </w:r>
    </w:p>
    <w:p>
      <w:pPr>
        <w:pStyle w:val="BodyTextIndent"/>
        <w:widowControl/>
      </w:pPr>
      <w:r>
        <w:t>A long judgment may mix procedural history, arguments, reasons and the order. A contract can express several obligations in one passage. A usable tool should shorten reading while preserving a route back to the source. This project joins two related reading aids in one interface but trains and evaluates them independently. Only the summarization task uses Indian documents; CUAD clause labels come from non-Indian commercial contracts. A judgment repository by itself does not supply supervised headnotes, so paired IN-Abs was selected. Automatic outputs require human verification, especially for legal effect and dispositions [1], [2].</w:t>
      </w:r>
    </w:p>
    <w:p>
      <w:pPr>
        <w:pStyle w:val="BodyTextIndent"/>
        <w:widowControl/>
      </w:pPr>
      <w:r>
        <w:t>The research question is whether small, reproducible baselines and genuinely fine-tuned transformers can be compared fairly on each task under CPU limits. The contribution is a measured pilot with document-level split control, transparent weak-label conversion, visible source coverage and error examples. It does not claim a new legal method or an Indian contract benchmark.</w:t>
      </w:r>
    </w:p>
    <w:p>
      <w:pPr>
        <w:pStyle w:val="Heading1"/>
        <w:keepNext/>
      </w:pPr>
      <w:r>
        <w:t>Literature Survey</w:t>
      </w:r>
    </w:p>
    <w:p>
      <w:pPr>
        <w:pStyle w:val="BodyTextIndent"/>
        <w:widowControl/>
      </w:pPr>
      <w:r>
        <w:t>Legal language adaptation and rhetorical-role work established the value of domain context and structure [3], [4]. Greek and Chinese case-law studies show that language and judgment format affect transfer [5], [6]. Indian legal extraction has used neural sentence relevance [7]. Entailment reranking can improve generated summaries, yet entailment scores do not certify legal correctness [8]. Deep clustering and extractive ensembles improve content selection on their own benchmarks [9], [10].</w:t>
      </w:r>
    </w:p>
    <w:p>
      <w:pPr>
        <w:pStyle w:val="BodyTextIndent"/>
        <w:widowControl/>
      </w:pPr>
      <w:r>
        <w:t>Generative-model comparisons still report omissions or unsupported content [11]. Structural hybrid approaches combine extraction and abstraction [12]–[14], motivating our explicit selected-context trace. Contract-risk BERT systems [15], multi-label augmentation [16] and abusive-clause assistance [17] use distinct taxonomies; their scores cannot be imported to CUAD. Indian judgment-domain classification [18], legal attribute extraction [19] and Thai multi-intent classification [20] further show that task and jurisdiction determine label meaning. Our gap is a locally reproducible dual-task teaching system with candid scope and data-conversion evidence, not a priority claim.</w:t>
      </w:r>
    </w:p>
    <w:p>
      <w:pPr>
        <w:pStyle w:val="BodyTextIndent"/>
        <w:widowControl/>
      </w:pPr>
      <w:r>
        <w:t>Table I compresses the comparison; the twenty-study analytical record in LITERATURE_REVIEW.md states each data setting, method, reported finding, limitation and project implication. Older [1], [3], [4] are retained as foundations; the other seventeen are 2020 onward.</w:t>
      </w:r>
    </w:p>
    <w:tbl>
      <w:tblPr>
        <w:tblW w:type="auto" w:w="0"/>
        <w:jc w:val="center"/>
        <w:tblLook w:firstColumn="1" w:firstRow="1" w:lastColumn="0" w:lastRow="0" w:noHBand="0" w:noVBand="1" w:val="04A0"/>
      </w:tblPr>
      <w:tblGrid>
        <w:gridCol w:w="4910"/>
        <w:gridCol w:w="4910"/>
      </w:tblGrid>
      <w:tr>
        <w:tc>
          <w:tcPr>
            <w:tcW w:type="dxa" w:w="1512"/>
            <w:vAlign w:val="center"/>
          </w:tcPr>
          <w:p>
            <w:r>
              <w:rPr>
                <w:rFonts w:ascii="Times New Roman" w:hAnsi="Times New Roman"/>
                <w:b/>
                <w:sz w:val="16"/>
              </w:rPr>
              <w:t>Study group</w:t>
            </w:r>
          </w:p>
        </w:tc>
        <w:tc>
          <w:tcPr>
            <w:tcW w:type="dxa" w:w="2952"/>
            <w:vAlign w:val="center"/>
          </w:tcPr>
          <w:p>
            <w:r>
              <w:rPr>
                <w:rFonts w:ascii="Times New Roman" w:hAnsi="Times New Roman"/>
                <w:b/>
                <w:sz w:val="16"/>
              </w:rPr>
              <w:t>Finding and design consequence</w:t>
            </w:r>
          </w:p>
        </w:tc>
      </w:tr>
      <w:tr>
        <w:tc>
          <w:tcPr>
            <w:tcW w:type="dxa" w:w="1512"/>
            <w:vAlign w:val="center"/>
          </w:tcPr>
          <w:p>
            <w:pPr>
              <w:spacing w:after="0"/>
            </w:pPr>
            <w:r>
              <w:rPr>
                <w:rFonts w:ascii="Times New Roman" w:hAnsi="Times New Roman"/>
                <w:sz w:val="15"/>
              </w:rPr>
              <w:t>Legal/Indian summaries [1]–[4], [7]</w:t>
            </w:r>
          </w:p>
        </w:tc>
        <w:tc>
          <w:tcPr>
            <w:tcW w:type="dxa" w:w="2952"/>
            <w:vAlign w:val="center"/>
          </w:tcPr>
          <w:p>
            <w:pPr>
              <w:spacing w:after="0"/>
            </w:pPr>
            <w:r>
              <w:rPr>
                <w:rFonts w:ascii="Times New Roman" w:hAnsi="Times New Roman"/>
                <w:sz w:val="15"/>
              </w:rPr>
              <w:t>Domain wording and roles matter; retain source and test Indian paired data.</w:t>
            </w:r>
          </w:p>
        </w:tc>
      </w:tr>
      <w:tr>
        <w:tc>
          <w:tcPr>
            <w:tcW w:type="dxa" w:w="1512"/>
            <w:vAlign w:val="center"/>
          </w:tcPr>
          <w:p>
            <w:pPr>
              <w:spacing w:after="0"/>
            </w:pPr>
            <w:r>
              <w:rPr>
                <w:rFonts w:ascii="Times New Roman" w:hAnsi="Times New Roman"/>
                <w:sz w:val="15"/>
              </w:rPr>
              <w:t>Selection/generation [5], [6], [8]–[14]</w:t>
            </w:r>
          </w:p>
        </w:tc>
        <w:tc>
          <w:tcPr>
            <w:tcW w:type="dxa" w:w="2952"/>
            <w:vAlign w:val="center"/>
          </w:tcPr>
          <w:p>
            <w:pPr>
              <w:spacing w:after="0"/>
            </w:pPr>
            <w:r>
              <w:rPr>
                <w:rFonts w:ascii="Times New Roman" w:hAnsi="Times New Roman"/>
                <w:sz w:val="15"/>
              </w:rPr>
              <w:t>Selection can omit holding; compare extractive and generated outputs.</w:t>
            </w:r>
          </w:p>
        </w:tc>
      </w:tr>
      <w:tr>
        <w:tc>
          <w:tcPr>
            <w:tcW w:type="dxa" w:w="1512"/>
            <w:vAlign w:val="center"/>
          </w:tcPr>
          <w:p>
            <w:pPr>
              <w:spacing w:after="0"/>
            </w:pPr>
            <w:r>
              <w:rPr>
                <w:rFonts w:ascii="Times New Roman" w:hAnsi="Times New Roman"/>
                <w:sz w:val="15"/>
              </w:rPr>
              <w:t>Contract/label models [15]–[20]</w:t>
            </w:r>
          </w:p>
        </w:tc>
        <w:tc>
          <w:tcPr>
            <w:tcW w:type="dxa" w:w="2952"/>
            <w:vAlign w:val="center"/>
          </w:tcPr>
          <w:p>
            <w:pPr>
              <w:spacing w:after="0"/>
            </w:pPr>
            <w:r>
              <w:rPr>
                <w:rFonts w:ascii="Times New Roman" w:hAnsi="Times New Roman"/>
                <w:sz w:val="15"/>
              </w:rPr>
              <w:t>Taxonomies differ; test eight explicit labels with per-class metrics.</w:t>
            </w:r>
          </w:p>
        </w:tc>
      </w:tr>
    </w:tbl>
    <w:p>
      <w:pPr>
        <w:pStyle w:val="Caption"/>
        <w:widowControl/>
      </w:pPr>
      <w:r>
        <w:t>TABLE I. Literature groups and design implications. Studies are cited by final journal-reference number.</w:t>
      </w:r>
    </w:p>
    <w:p>
      <w:pPr>
        <w:pStyle w:val="Heading1"/>
        <w:keepNext/>
      </w:pPr>
      <w:r>
        <w:t>Objectives</w:t>
      </w:r>
    </w:p>
    <w:p>
      <w:pPr>
        <w:pStyle w:val="BodyTextIndent"/>
        <w:widowControl/>
      </w:pPr>
      <w:r>
        <w:t>1) Build a source-linked Indian judgment summarizer and compare an extractive method with a fine-tuned generator. 2) Convert verified CUAD spans to eight multi-label passage categories and compare TF-IDF logistic regression with a fine-tuned legal encoder. 3) evaluate both tasks on isolated held-out documents, inspect errors, and expose their limits in an exportable local demonstration.</w:t>
      </w:r>
    </w:p>
    <w:p>
      <w:pPr>
        <w:pStyle w:val="Heading1"/>
        <w:keepNext/>
      </w:pPr>
      <w:r>
        <w:t>Data Source</w:t>
      </w:r>
    </w:p>
    <w:p>
      <w:pPr>
        <w:pStyle w:val="BodyTextIndent"/>
        <w:widowControl/>
      </w:pPr>
      <w:r>
        <w:t>IN-Abs, released by Shukla et al. on Zenodo under CC BY 4.0, contains English Indian Supreme Court judgments and abstractive headnotes. Its published 7,130 pairs include 7,030 train and 100 official test. Two training files are empty, leaving 7,128 usable pairs. CUAD v1, from The Atticus Project under CC BY 4.0, contains 510 English commercial contracts from SEC filings, 41 expert question-answer annotation types and an official 408/102 train/test partition. Its contracts are non-Indian. Source URLs, hashes and non-journal provenance are in SOURCE_RECORD.md and DATA_CARD.md. We did not scrape Indian Kanoon or infer that NJDG supplied supervised pairs.</w:t>
      </w:r>
    </w:p>
    <w:tbl>
      <w:tblPr>
        <w:tblW w:type="auto" w:w="0"/>
        <w:jc w:val="center"/>
        <w:tblLook w:firstColumn="1" w:firstRow="1" w:lastColumn="0" w:lastRow="0" w:noHBand="0" w:noVBand="1" w:val="04A0"/>
      </w:tblPr>
      <w:tblGrid>
        <w:gridCol w:w="2455"/>
        <w:gridCol w:w="2455"/>
        <w:gridCol w:w="2455"/>
        <w:gridCol w:w="2455"/>
      </w:tblGrid>
      <w:tr>
        <w:tc>
          <w:tcPr>
            <w:tcW w:type="dxa" w:w="1771"/>
            <w:vAlign w:val="center"/>
          </w:tcPr>
          <w:p>
            <w:r>
              <w:rPr>
                <w:rFonts w:ascii="Times New Roman" w:hAnsi="Times New Roman"/>
                <w:b/>
                <w:sz w:val="16"/>
              </w:rPr>
              <w:t>Data / split</w:t>
            </w:r>
          </w:p>
        </w:tc>
        <w:tc>
          <w:tcPr>
            <w:tcW w:type="dxa" w:w="850"/>
            <w:vAlign w:val="center"/>
          </w:tcPr>
          <w:p>
            <w:r>
              <w:rPr>
                <w:rFonts w:ascii="Times New Roman" w:hAnsi="Times New Roman"/>
                <w:b/>
                <w:sz w:val="16"/>
              </w:rPr>
              <w:t>Train</w:t>
            </w:r>
          </w:p>
        </w:tc>
        <w:tc>
          <w:tcPr>
            <w:tcW w:type="dxa" w:w="979"/>
            <w:vAlign w:val="center"/>
          </w:tcPr>
          <w:p>
            <w:r>
              <w:rPr>
                <w:rFonts w:ascii="Times New Roman" w:hAnsi="Times New Roman"/>
                <w:b/>
                <w:sz w:val="16"/>
              </w:rPr>
              <w:t>Validation</w:t>
            </w:r>
          </w:p>
        </w:tc>
        <w:tc>
          <w:tcPr>
            <w:tcW w:type="dxa" w:w="864"/>
            <w:vAlign w:val="center"/>
          </w:tcPr>
          <w:p>
            <w:r>
              <w:rPr>
                <w:rFonts w:ascii="Times New Roman" w:hAnsi="Times New Roman"/>
                <w:b/>
                <w:sz w:val="16"/>
              </w:rPr>
              <w:t>Test</w:t>
            </w:r>
          </w:p>
        </w:tc>
      </w:tr>
      <w:tr>
        <w:tc>
          <w:tcPr>
            <w:tcW w:type="dxa" w:w="1771"/>
            <w:vAlign w:val="center"/>
          </w:tcPr>
          <w:p>
            <w:pPr>
              <w:spacing w:after="0"/>
            </w:pPr>
            <w:r>
              <w:rPr>
                <w:rFonts w:ascii="Times New Roman" w:hAnsi="Times New Roman"/>
                <w:sz w:val="15"/>
              </w:rPr>
              <w:t>IN-Abs pool</w:t>
            </w:r>
          </w:p>
        </w:tc>
        <w:tc>
          <w:tcPr>
            <w:tcW w:type="dxa" w:w="850"/>
            <w:vAlign w:val="center"/>
          </w:tcPr>
          <w:p>
            <w:pPr>
              <w:spacing w:after="0"/>
            </w:pPr>
            <w:r>
              <w:rPr>
                <w:rFonts w:ascii="Times New Roman" w:hAnsi="Times New Roman"/>
                <w:sz w:val="15"/>
              </w:rPr>
              <w:t>5,949</w:t>
            </w:r>
          </w:p>
        </w:tc>
        <w:tc>
          <w:tcPr>
            <w:tcW w:type="dxa" w:w="979"/>
            <w:vAlign w:val="center"/>
          </w:tcPr>
          <w:p>
            <w:pPr>
              <w:spacing w:after="0"/>
            </w:pPr>
            <w:r>
              <w:rPr>
                <w:rFonts w:ascii="Times New Roman" w:hAnsi="Times New Roman"/>
                <w:sz w:val="15"/>
              </w:rPr>
              <w:t>1,050</w:t>
            </w:r>
          </w:p>
        </w:tc>
        <w:tc>
          <w:tcPr>
            <w:tcW w:type="dxa" w:w="864"/>
            <w:vAlign w:val="center"/>
          </w:tcPr>
          <w:p>
            <w:pPr>
              <w:spacing w:after="0"/>
            </w:pPr>
            <w:r>
              <w:rPr>
                <w:rFonts w:ascii="Times New Roman" w:hAnsi="Times New Roman"/>
                <w:sz w:val="15"/>
              </w:rPr>
              <w:t>100</w:t>
            </w:r>
          </w:p>
        </w:tc>
      </w:tr>
      <w:tr>
        <w:tc>
          <w:tcPr>
            <w:tcW w:type="dxa" w:w="1771"/>
            <w:vAlign w:val="center"/>
          </w:tcPr>
          <w:p>
            <w:pPr>
              <w:spacing w:after="0"/>
            </w:pPr>
            <w:r>
              <w:rPr>
                <w:rFonts w:ascii="Times New Roman" w:hAnsi="Times New Roman"/>
                <w:sz w:val="15"/>
              </w:rPr>
              <w:t>IN-Abs pilot</w:t>
            </w:r>
          </w:p>
        </w:tc>
        <w:tc>
          <w:tcPr>
            <w:tcW w:type="dxa" w:w="850"/>
            <w:vAlign w:val="center"/>
          </w:tcPr>
          <w:p>
            <w:pPr>
              <w:spacing w:after="0"/>
            </w:pPr>
            <w:r>
              <w:rPr>
                <w:rFonts w:ascii="Times New Roman" w:hAnsi="Times New Roman"/>
                <w:sz w:val="15"/>
              </w:rPr>
              <w:t>64</w:t>
            </w:r>
          </w:p>
        </w:tc>
        <w:tc>
          <w:tcPr>
            <w:tcW w:type="dxa" w:w="979"/>
            <w:vAlign w:val="center"/>
          </w:tcPr>
          <w:p>
            <w:pPr>
              <w:spacing w:after="0"/>
            </w:pPr>
            <w:r>
              <w:rPr>
                <w:rFonts w:ascii="Times New Roman" w:hAnsi="Times New Roman"/>
                <w:sz w:val="15"/>
              </w:rPr>
              <w:t>12</w:t>
            </w:r>
          </w:p>
        </w:tc>
        <w:tc>
          <w:tcPr>
            <w:tcW w:type="dxa" w:w="864"/>
            <w:vAlign w:val="center"/>
          </w:tcPr>
          <w:p>
            <w:pPr>
              <w:spacing w:after="0"/>
            </w:pPr>
            <w:r>
              <w:rPr>
                <w:rFonts w:ascii="Times New Roman" w:hAnsi="Times New Roman"/>
                <w:sz w:val="15"/>
              </w:rPr>
              <w:t>20</w:t>
            </w:r>
          </w:p>
        </w:tc>
      </w:tr>
      <w:tr>
        <w:tc>
          <w:tcPr>
            <w:tcW w:type="dxa" w:w="1771"/>
            <w:vAlign w:val="center"/>
          </w:tcPr>
          <w:p>
            <w:pPr>
              <w:spacing w:after="0"/>
            </w:pPr>
            <w:r>
              <w:rPr>
                <w:rFonts w:ascii="Times New Roman" w:hAnsi="Times New Roman"/>
                <w:sz w:val="15"/>
              </w:rPr>
              <w:t>CUAD pool contracts</w:t>
            </w:r>
          </w:p>
        </w:tc>
        <w:tc>
          <w:tcPr>
            <w:tcW w:type="dxa" w:w="850"/>
            <w:vAlign w:val="center"/>
          </w:tcPr>
          <w:p>
            <w:pPr>
              <w:spacing w:after="0"/>
            </w:pPr>
            <w:r>
              <w:rPr>
                <w:rFonts w:ascii="Times New Roman" w:hAnsi="Times New Roman"/>
                <w:sz w:val="15"/>
              </w:rPr>
              <w:t>345</w:t>
            </w:r>
          </w:p>
        </w:tc>
        <w:tc>
          <w:tcPr>
            <w:tcW w:type="dxa" w:w="979"/>
            <w:vAlign w:val="center"/>
          </w:tcPr>
          <w:p>
            <w:pPr>
              <w:spacing w:after="0"/>
            </w:pPr>
            <w:r>
              <w:rPr>
                <w:rFonts w:ascii="Times New Roman" w:hAnsi="Times New Roman"/>
                <w:sz w:val="15"/>
              </w:rPr>
              <w:t>61</w:t>
            </w:r>
          </w:p>
        </w:tc>
        <w:tc>
          <w:tcPr>
            <w:tcW w:type="dxa" w:w="864"/>
            <w:vAlign w:val="center"/>
          </w:tcPr>
          <w:p>
            <w:pPr>
              <w:spacing w:after="0"/>
            </w:pPr>
            <w:r>
              <w:rPr>
                <w:rFonts w:ascii="Times New Roman" w:hAnsi="Times New Roman"/>
                <w:sz w:val="15"/>
              </w:rPr>
              <w:t>102</w:t>
            </w:r>
          </w:p>
        </w:tc>
      </w:tr>
      <w:tr>
        <w:tc>
          <w:tcPr>
            <w:tcW w:type="dxa" w:w="1771"/>
            <w:vAlign w:val="center"/>
          </w:tcPr>
          <w:p>
            <w:pPr>
              <w:spacing w:after="0"/>
            </w:pPr>
            <w:r>
              <w:rPr>
                <w:rFonts w:ascii="Times New Roman" w:hAnsi="Times New Roman"/>
                <w:sz w:val="15"/>
              </w:rPr>
              <w:t>CUAD pilot contracts</w:t>
            </w:r>
          </w:p>
        </w:tc>
        <w:tc>
          <w:tcPr>
            <w:tcW w:type="dxa" w:w="850"/>
            <w:vAlign w:val="center"/>
          </w:tcPr>
          <w:p>
            <w:pPr>
              <w:spacing w:after="0"/>
            </w:pPr>
            <w:r>
              <w:rPr>
                <w:rFonts w:ascii="Times New Roman" w:hAnsi="Times New Roman"/>
                <w:sz w:val="15"/>
              </w:rPr>
              <w:t>40</w:t>
            </w:r>
          </w:p>
        </w:tc>
        <w:tc>
          <w:tcPr>
            <w:tcW w:type="dxa" w:w="979"/>
            <w:vAlign w:val="center"/>
          </w:tcPr>
          <w:p>
            <w:pPr>
              <w:spacing w:after="0"/>
            </w:pPr>
            <w:r>
              <w:rPr>
                <w:rFonts w:ascii="Times New Roman" w:hAnsi="Times New Roman"/>
                <w:sz w:val="15"/>
              </w:rPr>
              <w:t>10</w:t>
            </w:r>
          </w:p>
        </w:tc>
        <w:tc>
          <w:tcPr>
            <w:tcW w:type="dxa" w:w="864"/>
            <w:vAlign w:val="center"/>
          </w:tcPr>
          <w:p>
            <w:pPr>
              <w:spacing w:after="0"/>
            </w:pPr>
            <w:r>
              <w:rPr>
                <w:rFonts w:ascii="Times New Roman" w:hAnsi="Times New Roman"/>
                <w:sz w:val="15"/>
              </w:rPr>
              <w:t>10</w:t>
            </w:r>
          </w:p>
        </w:tc>
      </w:tr>
      <w:tr>
        <w:tc>
          <w:tcPr>
            <w:tcW w:type="dxa" w:w="1771"/>
            <w:vAlign w:val="center"/>
          </w:tcPr>
          <w:p>
            <w:pPr>
              <w:spacing w:after="0"/>
            </w:pPr>
            <w:r>
              <w:rPr>
                <w:rFonts w:ascii="Times New Roman" w:hAnsi="Times New Roman"/>
                <w:sz w:val="15"/>
              </w:rPr>
              <w:t>CUAD pilot segments</w:t>
            </w:r>
          </w:p>
        </w:tc>
        <w:tc>
          <w:tcPr>
            <w:tcW w:type="dxa" w:w="850"/>
            <w:vAlign w:val="center"/>
          </w:tcPr>
          <w:p>
            <w:pPr>
              <w:spacing w:after="0"/>
            </w:pPr>
            <w:r>
              <w:rPr>
                <w:rFonts w:ascii="Times New Roman" w:hAnsi="Times New Roman"/>
                <w:sz w:val="15"/>
              </w:rPr>
              <w:t>1,636</w:t>
            </w:r>
          </w:p>
        </w:tc>
        <w:tc>
          <w:tcPr>
            <w:tcW w:type="dxa" w:w="979"/>
            <w:vAlign w:val="center"/>
          </w:tcPr>
          <w:p>
            <w:pPr>
              <w:spacing w:after="0"/>
            </w:pPr>
            <w:r>
              <w:rPr>
                <w:rFonts w:ascii="Times New Roman" w:hAnsi="Times New Roman"/>
                <w:sz w:val="15"/>
              </w:rPr>
              <w:t>2,639</w:t>
            </w:r>
          </w:p>
        </w:tc>
        <w:tc>
          <w:tcPr>
            <w:tcW w:type="dxa" w:w="864"/>
            <w:vAlign w:val="center"/>
          </w:tcPr>
          <w:p>
            <w:pPr>
              <w:spacing w:after="0"/>
            </w:pPr>
            <w:r>
              <w:rPr>
                <w:rFonts w:ascii="Times New Roman" w:hAnsi="Times New Roman"/>
                <w:sz w:val="15"/>
              </w:rPr>
              <w:t>2,404</w:t>
            </w:r>
          </w:p>
        </w:tc>
      </w:tr>
    </w:tbl>
    <w:p>
      <w:pPr>
        <w:pStyle w:val="Caption"/>
        <w:widowControl/>
      </w:pPr>
      <w:r>
        <w:t>TABLE II. Retained pool after duplicate grouping versus executed pilot. The CUAD training passage count reflects negative downsampling; test retains all passages.</w:t>
      </w:r>
    </w:p>
    <w:p>
      <w:pPr>
        <w:pStyle w:val="BodyTextIndent"/>
        <w:widowControl/>
      </w:pPr>
      <w:r>
        <w:t>The eight selected labels are Governing Law, Non-Compete, Exclusivity, Anti-Assignment, Termination For Convenience, Cap On Liability, Audit Rights and Post-Termination Services. Multiple categories may overlap one passage. The task identifies category presence, not validity, enforceability or risk. A passage without one of these annotations is not proven neutral.</w:t>
      </w:r>
    </w:p>
    <w:p>
      <w:pPr>
        <w:pStyle w:val="Heading1"/>
        <w:keepNext/>
      </w:pPr>
      <w:r>
        <w:t>Methodology</w:t>
      </w:r>
    </w:p>
    <w:p>
      <w:pPr>
        <w:pStyle w:val="BodyTextIndent"/>
        <w:widowControl/>
      </w:pPr>
      <w:r>
        <w:t>Raw ZIPs are checksum-tested. IN-Abs source/summary pairs and CUAD untouched contexts/answer offsets are validated. All CUAD answer offsets matched their text. Documents, not passages, are grouped by normalized exact hash and an approximate five-word-shingle sketch, then split. Official test takes precedence. The sketch found one exact and one near-duplicate CUAD link, and 27 exact/two near IN-Abs links. Near matching is approximate. Exact repeated cross-split CUAD passages were further removed from lower-priority splits. Validation comes from official training groups; seed 42 fixes sampling. Fig. 1 shows both independent branches.</w:t>
      </w:r>
    </w:p>
    <w:p>
      <w:pPr>
        <w:jc w:val="center"/>
      </w:pPr>
      <w:r>
        <w:drawing>
          <wp:inline xmlns:a="http://schemas.openxmlformats.org/drawingml/2006/main" xmlns:pic="http://schemas.openxmlformats.org/drawingml/2006/picture">
            <wp:extent cx="2743200" cy="4231485"/>
            <wp:docPr id="41515" name="Picture 41515"/>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2743200" cy="4231485"/>
                    </a:xfrm>
                    <a:prstGeom prst="rect"/>
                  </pic:spPr>
                </pic:pic>
              </a:graphicData>
            </a:graphic>
          </wp:inline>
        </w:drawing>
      </w:r>
    </w:p>
    <w:p>
      <w:pPr>
        <w:pStyle w:val="Caption"/>
        <w:widowControl/>
      </w:pPr>
      <w:r>
        <w:t>Fig. 1. Local architecture. The judgment and contract branches share document input and source-linked display, but have independent supervision, models and metrics. Original figure.</w:t>
      </w:r>
    </w:p>
    <w:p>
      <w:pPr>
        <w:pStyle w:val="BodyTextIndent"/>
        <w:widowControl/>
      </w:pPr>
      <w:r>
        <w:t>CUAD is formatted as question answering. We reconstruct each contract and mark a token-bounded passage positive for a category when it overlaps a verified answer span. A passage can have several 1s in an eight-element vector. Line-aware splitting preserves character offsets and meaningful negation, dates, names and amounts; recursive splitting enforces 256 LEGAL-BERT tokens. Training negatives are capped at three per positive; validation and test keep their natural imbalance. No softmax or mutually exclusive label assumption is made.</w:t>
      </w:r>
    </w:p>
    <w:p>
      <w:pPr>
        <w:pStyle w:val="BodyTextIndent"/>
        <w:widowControl/>
      </w:pPr>
      <w:r>
        <w:t>For judgments, a full-text TF-IDF centroid ranks sentence units. Maximum marginal relevance penalizes redundancy, and selected units return to source order. The extractive baseline emits selected text within 128 T5 tokens. The same selector supplies at most 512 T5 source tokens; the model generates at most 128 new tokens with two beams. Selected spans and character coverage are saved. The generator cannot see omitted text, so this approach bounds compute rather than solving long-document completeness.</w:t>
      </w:r>
    </w:p>
    <w:p>
      <w:pPr>
        <w:pStyle w:val="Heading1"/>
        <w:keepNext/>
      </w:pPr>
      <w:r>
        <w:t>Implementation Details</w:t>
      </w:r>
    </w:p>
    <w:p>
      <w:pPr>
        <w:pStyle w:val="BodyTextIndent"/>
        <w:widowControl/>
      </w:pPr>
      <w:r>
        <w:t>Python 3.12.14, PyTorch 2.14.1+cpu, Transformers 5.19.0, scikit-learn 1.9.1 and Streamlit 1.65.0 were installed together; pip check passed. Hardware was AMD64 Windows 11, 15.3 GiB RAM and four CPU threads, without CUDA. The classifier baseline uses unigram/bigram TF-IDF (40,000-feature cap) and eight balanced one-vs-rest logistic regressions. LEGAL-BERT-small is a 35.07-million-parameter encoder with an eight-logit head, trained end-to-end with weighted binary cross-entropy, AdamW, learning rate 5×10⁻⁵, batch eight, three epochs and 256-token passages. The best validation macro-F1 epoch was 3; one global threshold of 0.90 came from a 0.10–0.90 validation grid. TF-IDF threshold was 0.75.</w:t>
      </w:r>
    </w:p>
    <w:p>
      <w:pPr>
        <w:pStyle w:val="BodyTextIndent"/>
        <w:widowControl/>
      </w:pPr>
      <w:r>
        <w:t>T5-small is a 60.51-million-parameter encoder-decoder fine-tuned for one epoch on 64 pairs, batch two, gradient accumulation two, learning rate 10⁻⁴ and teacher-forced validation-loss selection. All 64 train and 12 validation reference headnotes exceeded 128 target tokens and were explicitly shortened for training; test references remained complete. Mean training source-character coverage after selection was 16.0%. LEGAL-BERT training took 723.75 s; T5 took 152.02 s including model/data setup. Checkpoints store weights, tokenizer, settings, selected epoch and dataset hashes. The CLI does not save optimizer state for exact interrupted resume.</w:t>
      </w:r>
    </w:p>
    <w:p>
      <w:pPr>
        <w:pStyle w:val="BodyTextIndent"/>
        <w:widowControl/>
      </w:pPr>
      <w:r>
        <w:t>The local GUI accepts pasted text or UTF-8 TXT, DOCX and searchable PDF up to 20 MB, displays each result beside the source, and exports TXT, CSV or JSON. Scanned PDFs need external OCR; extraction reports missing text. User text is processed locally. The trained classifier never runs a random head; a missing checkpoint produces an error.</w:t>
      </w:r>
    </w:p>
    <w:p>
      <w:pPr>
        <w:pStyle w:val="Heading1"/>
        <w:keepNext/>
      </w:pPr>
      <w:r>
        <w:t>Results and Discussion</w:t>
      </w:r>
    </w:p>
    <w:p>
      <w:pPr>
        <w:pStyle w:val="BodyTextIndent"/>
        <w:widowControl/>
      </w:pPr>
      <w:r>
        <w:t>On the same 2,404 held-out CUAD passages from ten contracts, macro precision/recall/F1 for TF-IDF were 0.419/0.386/0.385 and for LEGAL-BERT 0.435/0.565/0.447. Weighted F1 was 0.409 versus 0.509; exact subset accuracy 0.970 versus 0.972. Hamming losses were 0.00374 and 0.00364. The test has 2,340 passages without any selected label. An always-zero classifier would reach 0.973 subset accuracy but zero macro F1, so the high accuracy cannot establish good clause detection.</w:t>
      </w:r>
    </w:p>
    <w:tbl>
      <w:tblPr>
        <w:tblW w:type="auto" w:w="0"/>
        <w:jc w:val="center"/>
        <w:tblLook w:firstColumn="1" w:firstRow="1" w:lastColumn="0" w:lastRow="0" w:noHBand="0" w:noVBand="1" w:val="04A0"/>
      </w:tblPr>
      <w:tblGrid>
        <w:gridCol w:w="2455"/>
        <w:gridCol w:w="2455"/>
        <w:gridCol w:w="2455"/>
        <w:gridCol w:w="2455"/>
      </w:tblGrid>
      <w:tr>
        <w:tc>
          <w:tcPr>
            <w:tcW w:type="dxa" w:w="1814"/>
            <w:vAlign w:val="center"/>
          </w:tcPr>
          <w:p>
            <w:r>
              <w:rPr>
                <w:rFonts w:ascii="Times New Roman" w:hAnsi="Times New Roman"/>
                <w:b/>
                <w:sz w:val="16"/>
              </w:rPr>
              <w:t>Model</w:t>
            </w:r>
          </w:p>
        </w:tc>
        <w:tc>
          <w:tcPr>
            <w:tcW w:type="dxa" w:w="878"/>
            <w:vAlign w:val="center"/>
          </w:tcPr>
          <w:p>
            <w:r>
              <w:rPr>
                <w:rFonts w:ascii="Times New Roman" w:hAnsi="Times New Roman"/>
                <w:b/>
                <w:sz w:val="16"/>
              </w:rPr>
              <w:t>Macro F1</w:t>
            </w:r>
          </w:p>
        </w:tc>
        <w:tc>
          <w:tcPr>
            <w:tcW w:type="dxa" w:w="1037"/>
            <w:vAlign w:val="center"/>
          </w:tcPr>
          <w:p>
            <w:r>
              <w:rPr>
                <w:rFonts w:ascii="Times New Roman" w:hAnsi="Times New Roman"/>
                <w:b/>
                <w:sz w:val="16"/>
              </w:rPr>
              <w:t>Weighted F1</w:t>
            </w:r>
          </w:p>
        </w:tc>
        <w:tc>
          <w:tcPr>
            <w:tcW w:type="dxa" w:w="878"/>
            <w:vAlign w:val="center"/>
          </w:tcPr>
          <w:p>
            <w:r>
              <w:rPr>
                <w:rFonts w:ascii="Times New Roman" w:hAnsi="Times New Roman"/>
                <w:b/>
                <w:sz w:val="16"/>
              </w:rPr>
              <w:t>Subset acc.</w:t>
            </w:r>
          </w:p>
        </w:tc>
      </w:tr>
      <w:tr>
        <w:tc>
          <w:tcPr>
            <w:tcW w:type="dxa" w:w="1814"/>
            <w:vAlign w:val="center"/>
          </w:tcPr>
          <w:p>
            <w:pPr>
              <w:spacing w:after="0"/>
            </w:pPr>
            <w:r>
              <w:rPr>
                <w:rFonts w:ascii="Times New Roman" w:hAnsi="Times New Roman"/>
                <w:sz w:val="15"/>
              </w:rPr>
              <w:t>TF-IDF + LR</w:t>
            </w:r>
          </w:p>
        </w:tc>
        <w:tc>
          <w:tcPr>
            <w:tcW w:type="dxa" w:w="878"/>
            <w:vAlign w:val="center"/>
          </w:tcPr>
          <w:p>
            <w:pPr>
              <w:spacing w:after="0"/>
            </w:pPr>
            <w:r>
              <w:rPr>
                <w:rFonts w:ascii="Times New Roman" w:hAnsi="Times New Roman"/>
                <w:sz w:val="15"/>
              </w:rPr>
              <w:t>0.385</w:t>
            </w:r>
          </w:p>
        </w:tc>
        <w:tc>
          <w:tcPr>
            <w:tcW w:type="dxa" w:w="1037"/>
            <w:vAlign w:val="center"/>
          </w:tcPr>
          <w:p>
            <w:pPr>
              <w:spacing w:after="0"/>
            </w:pPr>
            <w:r>
              <w:rPr>
                <w:rFonts w:ascii="Times New Roman" w:hAnsi="Times New Roman"/>
                <w:sz w:val="15"/>
              </w:rPr>
              <w:t>0.409</w:t>
            </w:r>
          </w:p>
        </w:tc>
        <w:tc>
          <w:tcPr>
            <w:tcW w:type="dxa" w:w="878"/>
            <w:vAlign w:val="center"/>
          </w:tcPr>
          <w:p>
            <w:pPr>
              <w:spacing w:after="0"/>
            </w:pPr>
            <w:r>
              <w:rPr>
                <w:rFonts w:ascii="Times New Roman" w:hAnsi="Times New Roman"/>
                <w:sz w:val="15"/>
              </w:rPr>
              <w:t>0.970</w:t>
            </w:r>
          </w:p>
        </w:tc>
      </w:tr>
      <w:tr>
        <w:tc>
          <w:tcPr>
            <w:tcW w:type="dxa" w:w="1814"/>
            <w:vAlign w:val="center"/>
          </w:tcPr>
          <w:p>
            <w:pPr>
              <w:spacing w:after="0"/>
            </w:pPr>
            <w:r>
              <w:rPr>
                <w:rFonts w:ascii="Times New Roman" w:hAnsi="Times New Roman"/>
                <w:sz w:val="15"/>
              </w:rPr>
              <w:t>LEGAL-BERT</w:t>
            </w:r>
          </w:p>
        </w:tc>
        <w:tc>
          <w:tcPr>
            <w:tcW w:type="dxa" w:w="878"/>
            <w:vAlign w:val="center"/>
          </w:tcPr>
          <w:p>
            <w:pPr>
              <w:spacing w:after="0"/>
            </w:pPr>
            <w:r>
              <w:rPr>
                <w:rFonts w:ascii="Times New Roman" w:hAnsi="Times New Roman"/>
                <w:sz w:val="15"/>
              </w:rPr>
              <w:t>0.447</w:t>
            </w:r>
          </w:p>
        </w:tc>
        <w:tc>
          <w:tcPr>
            <w:tcW w:type="dxa" w:w="1037"/>
            <w:vAlign w:val="center"/>
          </w:tcPr>
          <w:p>
            <w:pPr>
              <w:spacing w:after="0"/>
            </w:pPr>
            <w:r>
              <w:rPr>
                <w:rFonts w:ascii="Times New Roman" w:hAnsi="Times New Roman"/>
                <w:sz w:val="15"/>
              </w:rPr>
              <w:t>0.509</w:t>
            </w:r>
          </w:p>
        </w:tc>
        <w:tc>
          <w:tcPr>
            <w:tcW w:type="dxa" w:w="878"/>
            <w:vAlign w:val="center"/>
          </w:tcPr>
          <w:p>
            <w:pPr>
              <w:spacing w:after="0"/>
            </w:pPr>
            <w:r>
              <w:rPr>
                <w:rFonts w:ascii="Times New Roman" w:hAnsi="Times New Roman"/>
                <w:sz w:val="15"/>
              </w:rPr>
              <w:t>0.972</w:t>
            </w:r>
          </w:p>
        </w:tc>
      </w:tr>
    </w:tbl>
    <w:p>
      <w:pPr>
        <w:pStyle w:val="Caption"/>
        <w:widowControl/>
      </w:pPr>
      <w:r>
        <w:t>TABLE III. Actual multi-label held-out CUAD pilot scores (0–1). Thresholds selected on validation only.</w:t>
      </w:r>
    </w:p>
    <w:p>
      <w:pPr>
        <w:pStyle w:val="BodyTextIndent"/>
        <w:widowControl/>
      </w:pPr>
      <w:r>
        <w:t>Per-class LEGAL-BERT F1 ranged from 0.818 on Governing Law (ten positives) and 0.800 on Anti-Assignment (eleven) to 0 on Post-Termination Services (eight) and 0.182 on Exclusivity (three). It made 20 false positives for Cap On Liability and missed five of six Termination For Convenience passages. One Cap false positive was a standalone sentence that limitations “shall survive”; it did not state a numerical cap. One Post-Termination miss described compensation continuing for five years after termination. These illustrate partial-context and minority-label problems. Scores are uncalibrated and the ten-contract sample gives little basis for generalization.</w:t>
      </w:r>
    </w:p>
    <w:p>
      <w:pPr>
        <w:pStyle w:val="BodyTextIndent"/>
        <w:widowControl/>
      </w:pPr>
      <w:r>
        <w:t>For twenty held-out Indian judgments, the extractive baseline achieved ROUGE-1/2/L F1 0.216/0.120/0.145, and fine-tuned T5 achieved 0.149/0.080/0.105 against full headnotes. The methods used the same documents and 128-token output budget. Inference on four CPU threads took 3.59 s total for extraction and 36.52 s for T5, excluding model loading. These are single measured runs, not service latency promises.</w:t>
      </w:r>
    </w:p>
    <w:tbl>
      <w:tblPr>
        <w:tblW w:type="auto" w:w="0"/>
        <w:jc w:val="center"/>
        <w:tblLook w:firstColumn="1" w:firstRow="1" w:lastColumn="0" w:lastRow="0" w:noHBand="0" w:noVBand="1" w:val="04A0"/>
      </w:tblPr>
      <w:tblGrid>
        <w:gridCol w:w="2455"/>
        <w:gridCol w:w="2455"/>
        <w:gridCol w:w="2455"/>
        <w:gridCol w:w="2455"/>
      </w:tblGrid>
      <w:tr>
        <w:tc>
          <w:tcPr>
            <w:tcW w:type="dxa" w:w="1814"/>
            <w:vAlign w:val="center"/>
          </w:tcPr>
          <w:p>
            <w:r>
              <w:rPr>
                <w:rFonts w:ascii="Times New Roman" w:hAnsi="Times New Roman"/>
                <w:b/>
                <w:sz w:val="16"/>
              </w:rPr>
              <w:t>Model</w:t>
            </w:r>
          </w:p>
        </w:tc>
        <w:tc>
          <w:tcPr>
            <w:tcW w:type="dxa" w:w="878"/>
            <w:vAlign w:val="center"/>
          </w:tcPr>
          <w:p>
            <w:r>
              <w:rPr>
                <w:rFonts w:ascii="Times New Roman" w:hAnsi="Times New Roman"/>
                <w:b/>
                <w:sz w:val="16"/>
              </w:rPr>
              <w:t>R-1 F1</w:t>
            </w:r>
          </w:p>
        </w:tc>
        <w:tc>
          <w:tcPr>
            <w:tcW w:type="dxa" w:w="878"/>
            <w:vAlign w:val="center"/>
          </w:tcPr>
          <w:p>
            <w:r>
              <w:rPr>
                <w:rFonts w:ascii="Times New Roman" w:hAnsi="Times New Roman"/>
                <w:b/>
                <w:sz w:val="16"/>
              </w:rPr>
              <w:t>R-2 F1</w:t>
            </w:r>
          </w:p>
        </w:tc>
        <w:tc>
          <w:tcPr>
            <w:tcW w:type="dxa" w:w="1037"/>
            <w:vAlign w:val="center"/>
          </w:tcPr>
          <w:p>
            <w:r>
              <w:rPr>
                <w:rFonts w:ascii="Times New Roman" w:hAnsi="Times New Roman"/>
                <w:b/>
                <w:sz w:val="16"/>
              </w:rPr>
              <w:t>R-L F1</w:t>
            </w:r>
          </w:p>
        </w:tc>
      </w:tr>
      <w:tr>
        <w:tc>
          <w:tcPr>
            <w:tcW w:type="dxa" w:w="1814"/>
            <w:vAlign w:val="center"/>
          </w:tcPr>
          <w:p>
            <w:pPr>
              <w:spacing w:after="0"/>
            </w:pPr>
            <w:r>
              <w:rPr>
                <w:rFonts w:ascii="Times New Roman" w:hAnsi="Times New Roman"/>
                <w:sz w:val="15"/>
              </w:rPr>
              <w:t>TF-IDF/MMR</w:t>
            </w:r>
          </w:p>
        </w:tc>
        <w:tc>
          <w:tcPr>
            <w:tcW w:type="dxa" w:w="878"/>
            <w:vAlign w:val="center"/>
          </w:tcPr>
          <w:p>
            <w:pPr>
              <w:spacing w:after="0"/>
            </w:pPr>
            <w:r>
              <w:rPr>
                <w:rFonts w:ascii="Times New Roman" w:hAnsi="Times New Roman"/>
                <w:sz w:val="15"/>
              </w:rPr>
              <w:t>0.216</w:t>
            </w:r>
          </w:p>
        </w:tc>
        <w:tc>
          <w:tcPr>
            <w:tcW w:type="dxa" w:w="878"/>
            <w:vAlign w:val="center"/>
          </w:tcPr>
          <w:p>
            <w:pPr>
              <w:spacing w:after="0"/>
            </w:pPr>
            <w:r>
              <w:rPr>
                <w:rFonts w:ascii="Times New Roman" w:hAnsi="Times New Roman"/>
                <w:sz w:val="15"/>
              </w:rPr>
              <w:t>0.120</w:t>
            </w:r>
          </w:p>
        </w:tc>
        <w:tc>
          <w:tcPr>
            <w:tcW w:type="dxa" w:w="1037"/>
            <w:vAlign w:val="center"/>
          </w:tcPr>
          <w:p>
            <w:pPr>
              <w:spacing w:after="0"/>
            </w:pPr>
            <w:r>
              <w:rPr>
                <w:rFonts w:ascii="Times New Roman" w:hAnsi="Times New Roman"/>
                <w:sz w:val="15"/>
              </w:rPr>
              <w:t>0.145</w:t>
            </w:r>
          </w:p>
        </w:tc>
      </w:tr>
      <w:tr>
        <w:tc>
          <w:tcPr>
            <w:tcW w:type="dxa" w:w="1814"/>
            <w:vAlign w:val="center"/>
          </w:tcPr>
          <w:p>
            <w:pPr>
              <w:spacing w:after="0"/>
            </w:pPr>
            <w:r>
              <w:rPr>
                <w:rFonts w:ascii="Times New Roman" w:hAnsi="Times New Roman"/>
                <w:sz w:val="15"/>
              </w:rPr>
              <w:t>Fine-tuned T5</w:t>
            </w:r>
          </w:p>
        </w:tc>
        <w:tc>
          <w:tcPr>
            <w:tcW w:type="dxa" w:w="878"/>
            <w:vAlign w:val="center"/>
          </w:tcPr>
          <w:p>
            <w:pPr>
              <w:spacing w:after="0"/>
            </w:pPr>
            <w:r>
              <w:rPr>
                <w:rFonts w:ascii="Times New Roman" w:hAnsi="Times New Roman"/>
                <w:sz w:val="15"/>
              </w:rPr>
              <w:t>0.149</w:t>
            </w:r>
          </w:p>
        </w:tc>
        <w:tc>
          <w:tcPr>
            <w:tcW w:type="dxa" w:w="878"/>
            <w:vAlign w:val="center"/>
          </w:tcPr>
          <w:p>
            <w:pPr>
              <w:spacing w:after="0"/>
            </w:pPr>
            <w:r>
              <w:rPr>
                <w:rFonts w:ascii="Times New Roman" w:hAnsi="Times New Roman"/>
                <w:sz w:val="15"/>
              </w:rPr>
              <w:t>0.080</w:t>
            </w:r>
          </w:p>
        </w:tc>
        <w:tc>
          <w:tcPr>
            <w:tcW w:type="dxa" w:w="1037"/>
            <w:vAlign w:val="center"/>
          </w:tcPr>
          <w:p>
            <w:pPr>
              <w:spacing w:after="0"/>
            </w:pPr>
            <w:r>
              <w:rPr>
                <w:rFonts w:ascii="Times New Roman" w:hAnsi="Times New Roman"/>
                <w:sz w:val="15"/>
              </w:rPr>
              <w:t>0.105</w:t>
            </w:r>
          </w:p>
        </w:tc>
      </w:tr>
    </w:tbl>
    <w:p>
      <w:pPr>
        <w:pStyle w:val="Caption"/>
        <w:widowControl/>
      </w:pPr>
      <w:r>
        <w:t>TABLE IV. Actual document-mean ROUGE F1 on twenty IN-Abs test pairs; Porter stemming, rouge-score 0.1.2, full references.</w:t>
      </w:r>
    </w:p>
    <w:p>
      <w:pPr>
        <w:pStyle w:val="BodyTextIndent"/>
        <w:widowControl/>
      </w:pPr>
      <w:r>
        <w:t>In held-out judgment 3542, the reference says the appeals were allowed and contempt proceedings dropped after faulting acceptance of an apology without a contempt finding. T5 summarized the letter and an argument but omitted the final disposition and key reason. The extractive output retained part of the apology reasoning but ended with an incomplete “The High.” fragment and still omitted the final order. This is a concrete content and segmentation failure. ROUGE rewards lexical overlap but does not establish faithfulness; no expert factuality score was measured. The selected input covered about 16.7% of this source, and all training references exceeded the target cap.</w:t>
      </w:r>
    </w:p>
    <w:p>
      <w:pPr>
        <w:pStyle w:val="Heading1"/>
        <w:keepNext/>
      </w:pPr>
      <w:r>
        <w:t>Conclusion and Future Scope</w:t>
      </w:r>
    </w:p>
    <w:p>
      <w:pPr>
        <w:pStyle w:val="BodyTextIndent"/>
        <w:widowControl/>
      </w:pPr>
      <w:r>
        <w:t>The implemented local pilot performs two distinct reading tasks with tested data provenance, checkpoints and a usable interface. LEGAL-BERT improved macro F1 over a lexical baseline in this CUAD subset, while the extractive judgment baseline exceeded the one-epoch T5 generator on all three ROUGE scores. Neither result proves Indian contract performance or reliable legal summaries. Human source comparison is essential. Next experiments should run the full retained splits, obtain consented expert-labeled Indian contracts, test OCR and multilingual extraction, extend or structure the judgment input, evaluate legal issue/disposition faithfulness with expert review, and calibrate thresholds on broader validation data. These extensions require new measurements rather than retroactive claims about this pilot.</w:t>
      </w:r>
    </w:p>
    <w:p>
      <w:pPr>
        <w:pStyle w:val="Heading1"/>
        <w:keepNext/>
      </w:pPr>
      <w:r>
        <w:t>References</w:t>
      </w:r>
    </w:p>
    <w:p>
      <w:pPr>
        <w:spacing w:after="100"/>
        <w:ind w:hanging="245" w:left="245"/>
      </w:pPr>
      <w:r>
        <w:rPr>
          <w:rFonts w:ascii="Times New Roman" w:hAnsi="Times New Roman"/>
          <w:sz w:val="17"/>
        </w:rPr>
        <w:t>[1] A. Kanapala et al., "Text summarization from legal documents: a survey," Artificial Intelligence Review, vol. 51, no. 3, pp. 371–402, 2019, doi: 10.1007/s10462-017-9566-2.</w:t>
      </w:r>
    </w:p>
    <w:p>
      <w:pPr>
        <w:spacing w:after="100"/>
        <w:ind w:hanging="245" w:left="245"/>
      </w:pPr>
      <w:r>
        <w:rPr>
          <w:rFonts w:ascii="Times New Roman" w:hAnsi="Times New Roman"/>
          <w:sz w:val="17"/>
        </w:rPr>
        <w:t>[2] S. Sharma et al., "A Comprehensive Analysis of Indian Legal Documents Summarization Techniques," SN Computer Science, vol. 4, no. 5, Art. no. 614, 2023, doi: 10.1007/s42979-023-01983-y.</w:t>
      </w:r>
    </w:p>
    <w:p>
      <w:pPr>
        <w:spacing w:after="100"/>
        <w:ind w:hanging="245" w:left="245"/>
      </w:pPr>
      <w:r>
        <w:rPr>
          <w:rFonts w:ascii="Times New Roman" w:hAnsi="Times New Roman"/>
          <w:sz w:val="17"/>
        </w:rPr>
        <w:t>[3] I. Chalkidis and D. Kampas, "Deep learning in law: early adaptation and legal word embeddings trained on large corpora," Artificial Intelligence and Law, vol. 27, no. 2, pp. 171–198, 2019, doi: 10.1007/s10506-018-9238-9.</w:t>
      </w:r>
    </w:p>
    <w:p>
      <w:pPr>
        <w:spacing w:after="100"/>
        <w:ind w:hanging="245" w:left="245"/>
      </w:pPr>
      <w:r>
        <w:rPr>
          <w:rFonts w:ascii="Times New Roman" w:hAnsi="Times New Roman"/>
          <w:sz w:val="17"/>
        </w:rPr>
        <w:t>[4] M. Saravanan and B. Ravindran, "Identification of Rhetorical Roles for Segmentation and Summarization of a Legal Judgment," Artificial Intelligence and Law, vol. 18, no. 1, pp. 45–76, 2010, doi: 10.1007/s10506-010-9087-7.</w:t>
      </w:r>
    </w:p>
    <w:p>
      <w:pPr>
        <w:spacing w:after="100"/>
        <w:ind w:hanging="245" w:left="245"/>
      </w:pPr>
      <w:r>
        <w:rPr>
          <w:rFonts w:ascii="Times New Roman" w:hAnsi="Times New Roman"/>
          <w:sz w:val="17"/>
        </w:rPr>
        <w:t>[5] M. Koniaris et al., "Evaluation of Automatic Legal Text Summarization Techniques for Greek Case Law," Information, vol. 14, no. 4, Art. no. 250, 2023, doi: 10.3390/info14040250.</w:t>
      </w:r>
    </w:p>
    <w:p>
      <w:pPr>
        <w:spacing w:after="100"/>
        <w:ind w:hanging="245" w:left="245"/>
      </w:pPr>
      <w:r>
        <w:rPr>
          <w:rFonts w:ascii="Times New Roman" w:hAnsi="Times New Roman"/>
          <w:sz w:val="17"/>
        </w:rPr>
        <w:t>[6] Y. Huang et al., "A High-Precision Two-Stage Legal Judgment Summarization," Mathematics, vol. 11, no. 6, Art. no. 1320, 2023, doi: 10.3390/math11061320.</w:t>
      </w:r>
    </w:p>
    <w:p>
      <w:pPr>
        <w:spacing w:after="100"/>
        <w:ind w:hanging="245" w:left="245"/>
      </w:pPr>
      <w:r>
        <w:rPr>
          <w:rFonts w:ascii="Times New Roman" w:hAnsi="Times New Roman"/>
          <w:sz w:val="17"/>
        </w:rPr>
        <w:t>[7] D. Anand and R. Wagh, "Effective deep learning approaches for summarization of legal texts," Journal of King Saud University - Computer and Information Sciences, vol. 34, no. 5, pp. 2141–2150, 2022, doi: 10.1016/j.jksuci.2019.11.015.</w:t>
      </w:r>
    </w:p>
    <w:p>
      <w:pPr>
        <w:spacing w:after="100"/>
        <w:ind w:hanging="245" w:left="245"/>
      </w:pPr>
      <w:r>
        <w:rPr>
          <w:rFonts w:ascii="Times New Roman" w:hAnsi="Times New Roman"/>
          <w:sz w:val="17"/>
        </w:rPr>
        <w:t>[8] D. d. V. Feijo and V. P. Moreira, "Improving abstractive summarization of legal rulings through textual entailment," Artificial Intelligence and Law, vol. 31, no. 1, pp. 91–113, 2023, doi: 10.1007/s10506-021-09305-4.</w:t>
      </w:r>
    </w:p>
    <w:p>
      <w:pPr>
        <w:spacing w:after="100"/>
        <w:ind w:hanging="245" w:left="245"/>
      </w:pPr>
      <w:r>
        <w:rPr>
          <w:rFonts w:ascii="Times New Roman" w:hAnsi="Times New Roman"/>
          <w:sz w:val="17"/>
        </w:rPr>
        <w:t>[9] D. Jain et al., "A sentence is known by the company it keeps: Improving Legal Document Summarization Using Deep Clustering," Artificial Intelligence and Law, vol. 32, no. 1, pp. 165–200, 2024, doi: 10.1007/s10506-023-09345-y.</w:t>
      </w:r>
    </w:p>
    <w:p>
      <w:pPr>
        <w:spacing w:after="100"/>
        <w:ind w:hanging="245" w:left="245"/>
      </w:pPr>
      <w:r>
        <w:rPr>
          <w:rFonts w:ascii="Times New Roman" w:hAnsi="Times New Roman"/>
          <w:sz w:val="17"/>
        </w:rPr>
        <w:t>[10] A. Deroy et al., "Ensemble methods for improving extractive summarization of legal case judgements," Artificial Intelligence and Law, vol. 32, no. 1, pp. 231–289, 2024, doi: 10.1007/s10506-023-09349-8.</w:t>
      </w:r>
    </w:p>
    <w:p>
      <w:pPr>
        <w:spacing w:after="100"/>
        <w:ind w:hanging="245" w:left="245"/>
      </w:pPr>
      <w:r>
        <w:rPr>
          <w:rFonts w:ascii="Times New Roman" w:hAnsi="Times New Roman"/>
          <w:sz w:val="17"/>
        </w:rPr>
        <w:t>[11] A. Deroy et al., "Applicability of large language models and generative models for legal case judgement summarization," Artificial Intelligence and Law, vol. 33, no. 4, pp. 1007–1050, 2025, doi: 10.1007/s10506-024-09411-z.</w:t>
      </w:r>
    </w:p>
    <w:p>
      <w:pPr>
        <w:spacing w:after="100"/>
        <w:ind w:hanging="245" w:left="245"/>
      </w:pPr>
      <w:r>
        <w:rPr>
          <w:rFonts w:ascii="Times New Roman" w:hAnsi="Times New Roman"/>
          <w:sz w:val="17"/>
        </w:rPr>
        <w:t>[12] J. Dan et al., "Enhancing legal judgment summarization with integrated semantic and structural information," Artificial Intelligence and Law, vol. 33, no. 2, pp. 271–292, 2025, doi: 10.1007/s10506-023-09381-8.</w:t>
      </w:r>
    </w:p>
    <w:p>
      <w:pPr>
        <w:spacing w:after="100"/>
        <w:ind w:hanging="245" w:left="245"/>
      </w:pPr>
      <w:r>
        <w:rPr>
          <w:rFonts w:ascii="Times New Roman" w:hAnsi="Times New Roman"/>
          <w:sz w:val="17"/>
        </w:rPr>
        <w:t>[13] Y. Gao et al., "Summarizing judicial documents: a hybrid extractive- abstractive model with legal domain knowledge," Artificial Intelligence and Law, vol. 34, no. 2, pp. 493–521, 2026, doi: 10.1007/s10506-025-09435-z.</w:t>
      </w:r>
    </w:p>
    <w:p>
      <w:pPr>
        <w:spacing w:after="100"/>
        <w:ind w:hanging="245" w:left="245"/>
      </w:pPr>
      <w:r>
        <w:rPr>
          <w:rFonts w:ascii="Times New Roman" w:hAnsi="Times New Roman"/>
          <w:sz w:val="17"/>
        </w:rPr>
        <w:t>[14] W. Gao et al., "LSDK-LegalSum: improving legal judgment summarization using logical structure and domain knowledge," Journal of King Saud University Computer and Information Sciences, vol. 37, no. 1-2, Art. no. 3, 2025, doi: 10.1007/s44443-025-00022-5.</w:t>
      </w:r>
    </w:p>
    <w:p>
      <w:pPr>
        <w:spacing w:after="100"/>
        <w:ind w:hanging="245" w:left="245"/>
      </w:pPr>
      <w:r>
        <w:rPr>
          <w:rFonts w:ascii="Times New Roman" w:hAnsi="Times New Roman"/>
          <w:sz w:val="17"/>
        </w:rPr>
        <w:t>[15] S. Moon et al., "Automated detection of contractual risk clauses from construction specifications using bidirectional encoder representations from transformers (BERT)," Automation in Construction, vol. 142, Art. no. 104465, 2022, doi: 10.1016/j.autcon.2022.104465.</w:t>
      </w:r>
    </w:p>
    <w:p>
      <w:pPr>
        <w:spacing w:after="100"/>
        <w:ind w:hanging="245" w:left="245"/>
      </w:pPr>
      <w:r>
        <w:rPr>
          <w:rFonts w:ascii="Times New Roman" w:hAnsi="Times New Roman"/>
          <w:sz w:val="17"/>
        </w:rPr>
        <w:t>[16] L. Zhang et al., "Automated multi-label classification of risk clauses in construction contracts using GPT-driven data augmentation," Automation in Construction, vol. 181, Art. no. 106599, 2026, doi: 10.1016/j.autcon.2025.106599.</w:t>
      </w:r>
    </w:p>
    <w:p>
      <w:pPr>
        <w:spacing w:after="100"/>
        <w:ind w:hanging="245" w:left="245"/>
      </w:pPr>
      <w:r>
        <w:rPr>
          <w:rFonts w:ascii="Times New Roman" w:hAnsi="Times New Roman"/>
          <w:sz w:val="17"/>
        </w:rPr>
        <w:t>[17] S. Dadas et al., "A support system for the detection of abusive clauses in B2C contracts," Artificial Intelligence and Law, vol. 33, no. 4, pp. 913–951, 2025, doi: 10.1007/s10506-024-09408-8.</w:t>
      </w:r>
    </w:p>
    <w:p>
      <w:pPr>
        <w:spacing w:after="100"/>
        <w:ind w:hanging="245" w:left="245"/>
      </w:pPr>
      <w:r>
        <w:rPr>
          <w:rFonts w:ascii="Times New Roman" w:hAnsi="Times New Roman"/>
          <w:sz w:val="17"/>
        </w:rPr>
        <w:t>[18] P. Prabhakar and P. B. Pati, "Enhancing Indian legal judgment classification with embeddings, feature selection, and ensemble strategies," Artificial Intelligence and Law, vol. 34, no. 2, pp. 523–564, 2026, doi: 10.1007/s10506-025-09438-w.</w:t>
      </w:r>
    </w:p>
    <w:p>
      <w:pPr>
        <w:spacing w:after="100"/>
        <w:ind w:hanging="245" w:left="245"/>
      </w:pPr>
      <w:r>
        <w:rPr>
          <w:rFonts w:ascii="Times New Roman" w:hAnsi="Times New Roman"/>
          <w:sz w:val="17"/>
        </w:rPr>
        <w:t>[19] S. Adhikary et al., "A case study for automated attribute extraction from legal documents using large language models," Artificial Intelligence and Law, vol. 34, no. 1, pp. 245–266, 2026, doi: 10.1007/s10506-024-09425-7.</w:t>
      </w:r>
    </w:p>
    <w:p>
      <w:pPr>
        <w:spacing w:after="100"/>
        <w:ind w:hanging="245" w:left="245"/>
      </w:pPr>
      <w:r>
        <w:rPr>
          <w:rFonts w:ascii="Times New Roman" w:hAnsi="Times New Roman"/>
          <w:sz w:val="17"/>
        </w:rPr>
        <w:t>[20] A. Munthuli et al., "Transformers for Multi-Intent Classification and Slot Filling of Supreme Court Decisions Related to Sexual Violence Law," IEEE Access, vol. 11, pp. 76448–76467, 2023, doi: 10.1109/access.2023.3296261.</w:t>
      </w:r>
    </w:p>
    <w:sectPr w:rsidR="00B31E83" w:rsidSect="005F3FF3">
      <w:type w:val="continuous"/>
      <w:pgSz w:w="12240" w:h="15840"/>
      <w:pgMar w:top="1440" w:right="1210" w:bottom="1440" w:left="1210" w:header="480" w:footer="478" w:gutter="0"/>
      <w:cols w:space="461"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49AA" w14:textId="77777777" w:rsidR="00B45315" w:rsidRDefault="00B45315">
      <w:pPr>
        <w:spacing w:after="0" w:line="240" w:lineRule="auto"/>
      </w:pPr>
      <w:r>
        <w:separator/>
      </w:r>
    </w:p>
  </w:endnote>
  <w:endnote w:type="continuationSeparator" w:id="0">
    <w:p w14:paraId="618E14FF" w14:textId="77777777" w:rsidR="00B45315" w:rsidRDefault="00B45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F1988" w14:textId="77777777" w:rsidR="00B31E83"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F5DC248" wp14:editId="4AF34A34">
              <wp:simplePos x="0" y="0"/>
              <wp:positionH relativeFrom="page">
                <wp:posOffset>304800</wp:posOffset>
              </wp:positionH>
              <wp:positionV relativeFrom="page">
                <wp:posOffset>9749028</wp:posOffset>
              </wp:positionV>
              <wp:extent cx="7164324" cy="6096"/>
              <wp:effectExtent l="0" t="0" r="0" b="0"/>
              <wp:wrapSquare wrapText="bothSides"/>
              <wp:docPr id="41697" name="Group 4169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788" name="Shape 437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89" name="Shape 4378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90" name="Shape 4379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97" style="width:564.12pt;height:0.47998pt;position:absolute;mso-position-horizontal-relative:page;mso-position-horizontal:absolute;margin-left:24pt;mso-position-vertical-relative:page;margin-top:767.64pt;" coordsize="71643,60">
              <v:shape id="Shape 43791" style="position:absolute;width:91;height:91;left:0;top:0;" coordsize="9144,9144" path="m0,0l9144,0l9144,9144l0,9144l0,0">
                <v:stroke weight="0pt" endcap="flat" joinstyle="miter" miterlimit="10" on="false" color="#000000" opacity="0"/>
                <v:fill on="true" color="#000000"/>
              </v:shape>
              <v:shape id="Shape 43792" style="position:absolute;width:71521;height:91;left:60;top:0;" coordsize="7152132,9144" path="m0,0l7152132,0l7152132,9144l0,9144l0,0">
                <v:stroke weight="0pt" endcap="flat" joinstyle="miter" miterlimit="10" on="false" color="#000000" opacity="0"/>
                <v:fill on="true" color="#000000"/>
              </v:shape>
              <v:shape id="Shape 4379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74C2" w14:textId="77777777" w:rsidR="00B31E83"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2728514" wp14:editId="2E684874">
              <wp:simplePos x="0" y="0"/>
              <wp:positionH relativeFrom="page">
                <wp:posOffset>304800</wp:posOffset>
              </wp:positionH>
              <wp:positionV relativeFrom="page">
                <wp:posOffset>9749028</wp:posOffset>
              </wp:positionV>
              <wp:extent cx="7164324" cy="6096"/>
              <wp:effectExtent l="0" t="0" r="0" b="0"/>
              <wp:wrapSquare wrapText="bothSides"/>
              <wp:docPr id="41678" name="Group 4167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782" name="Shape 437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83" name="Shape 43783"/>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84" name="Shape 43784"/>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78" style="width:564.12pt;height:0.47998pt;position:absolute;mso-position-horizontal-relative:page;mso-position-horizontal:absolute;margin-left:24pt;mso-position-vertical-relative:page;margin-top:767.64pt;" coordsize="71643,60">
              <v:shape id="Shape 43785" style="position:absolute;width:91;height:91;left:0;top:0;" coordsize="9144,9144" path="m0,0l9144,0l9144,9144l0,9144l0,0">
                <v:stroke weight="0pt" endcap="flat" joinstyle="miter" miterlimit="10" on="false" color="#000000" opacity="0"/>
                <v:fill on="true" color="#000000"/>
              </v:shape>
              <v:shape id="Shape 43786" style="position:absolute;width:71521;height:91;left:60;top:0;" coordsize="7152132,9144" path="m0,0l7152132,0l7152132,9144l0,9144l0,0">
                <v:stroke weight="0pt" endcap="flat" joinstyle="miter" miterlimit="10" on="false" color="#000000" opacity="0"/>
                <v:fill on="true" color="#000000"/>
              </v:shape>
              <v:shape id="Shape 43787"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4BC5" w14:textId="77777777" w:rsidR="00B31E83"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26570E4" wp14:editId="78A8B3D7">
              <wp:simplePos x="0" y="0"/>
              <wp:positionH relativeFrom="page">
                <wp:posOffset>304800</wp:posOffset>
              </wp:positionH>
              <wp:positionV relativeFrom="page">
                <wp:posOffset>9749028</wp:posOffset>
              </wp:positionV>
              <wp:extent cx="7164324" cy="6096"/>
              <wp:effectExtent l="0" t="0" r="0" b="0"/>
              <wp:wrapSquare wrapText="bothSides"/>
              <wp:docPr id="41659" name="Group 4165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776" name="Shape 437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7" name="Shape 4377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78" name="Shape 4377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59" style="width:564.12pt;height:0.47998pt;position:absolute;mso-position-horizontal-relative:page;mso-position-horizontal:absolute;margin-left:24pt;mso-position-vertical-relative:page;margin-top:767.64pt;" coordsize="71643,60">
              <v:shape id="Shape 43779" style="position:absolute;width:91;height:91;left:0;top:0;" coordsize="9144,9144" path="m0,0l9144,0l9144,9144l0,9144l0,0">
                <v:stroke weight="0pt" endcap="flat" joinstyle="miter" miterlimit="10" on="false" color="#000000" opacity="0"/>
                <v:fill on="true" color="#000000"/>
              </v:shape>
              <v:shape id="Shape 43780" style="position:absolute;width:71521;height:91;left:60;top:0;" coordsize="7152132,9144" path="m0,0l7152132,0l7152132,9144l0,9144l0,0">
                <v:stroke weight="0pt" endcap="flat" joinstyle="miter" miterlimit="10" on="false" color="#000000" opacity="0"/>
                <v:fill on="true" color="#000000"/>
              </v:shape>
              <v:shape id="Shape 4378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65A5" w14:textId="77777777" w:rsidR="00B45315" w:rsidRDefault="00B45315">
      <w:pPr>
        <w:spacing w:after="0" w:line="240" w:lineRule="auto"/>
      </w:pPr>
      <w:r>
        <w:separator/>
      </w:r>
    </w:p>
  </w:footnote>
  <w:footnote w:type="continuationSeparator" w:id="0">
    <w:p w14:paraId="2E4301D6" w14:textId="77777777" w:rsidR="00B45315" w:rsidRDefault="00B45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4B79" w14:textId="77777777" w:rsidR="00B31E83"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03DA603" wp14:editId="78167A55">
              <wp:simplePos x="0" y="0"/>
              <wp:positionH relativeFrom="page">
                <wp:posOffset>304800</wp:posOffset>
              </wp:positionH>
              <wp:positionV relativeFrom="page">
                <wp:posOffset>304800</wp:posOffset>
              </wp:positionV>
              <wp:extent cx="7164324" cy="6096"/>
              <wp:effectExtent l="0" t="0" r="0" b="0"/>
              <wp:wrapSquare wrapText="bothSides"/>
              <wp:docPr id="41686" name="Group 4168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730" name="Shape 437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31" name="Shape 4373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32" name="Shape 4373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86" style="width:564.12pt;height:0.47998pt;position:absolute;mso-position-horizontal-relative:page;mso-position-horizontal:absolute;margin-left:24pt;mso-position-vertical-relative:page;margin-top:24pt;" coordsize="71643,60">
              <v:shape id="Shape 43733" style="position:absolute;width:91;height:91;left:0;top:0;" coordsize="9144,9144" path="m0,0l9144,0l9144,9144l0,9144l0,0">
                <v:stroke weight="0pt" endcap="flat" joinstyle="miter" miterlimit="10" on="false" color="#000000" opacity="0"/>
                <v:fill on="true" color="#000000"/>
              </v:shape>
              <v:shape id="Shape 43734" style="position:absolute;width:71521;height:91;left:60;top:0;" coordsize="7152132,9144" path="m0,0l7152132,0l7152132,9144l0,9144l0,0">
                <v:stroke weight="0pt" endcap="flat" joinstyle="miter" miterlimit="10" on="false" color="#000000" opacity="0"/>
                <v:fill on="true" color="#000000"/>
              </v:shape>
              <v:shape id="Shape 4373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41A3F11" w14:textId="77777777" w:rsidR="00B31E83"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1600665" wp14:editId="2BE1F961">
              <wp:simplePos x="0" y="0"/>
              <wp:positionH relativeFrom="page">
                <wp:posOffset>304800</wp:posOffset>
              </wp:positionH>
              <wp:positionV relativeFrom="page">
                <wp:posOffset>310897</wp:posOffset>
              </wp:positionV>
              <wp:extent cx="7164324" cy="9438132"/>
              <wp:effectExtent l="0" t="0" r="0" b="0"/>
              <wp:wrapNone/>
              <wp:docPr id="41690" name="Group 41690"/>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43736" name="Shape 4373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37" name="Shape 43737"/>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90" style="width:564.12pt;height:743.16pt;position:absolute;z-index:-2147483648;mso-position-horizontal-relative:page;mso-position-horizontal:absolute;margin-left:24pt;mso-position-vertical-relative:page;margin-top:24.48pt;" coordsize="71643,94381">
              <v:shape id="Shape 43738" style="position:absolute;width:91;height:94381;left:0;top:0;" coordsize="9144,9438132" path="m0,0l9144,0l9144,9438132l0,9438132l0,0">
                <v:stroke weight="0pt" endcap="flat" joinstyle="miter" miterlimit="10" on="false" color="#000000" opacity="0"/>
                <v:fill on="true" color="#000000"/>
              </v:shape>
              <v:shape id="Shape 43739"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E6D1" w14:textId="77777777" w:rsidR="00B31E83"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728C9EB" wp14:editId="12D70162">
              <wp:simplePos x="0" y="0"/>
              <wp:positionH relativeFrom="page">
                <wp:posOffset>304800</wp:posOffset>
              </wp:positionH>
              <wp:positionV relativeFrom="page">
                <wp:posOffset>304800</wp:posOffset>
              </wp:positionV>
              <wp:extent cx="7164324" cy="6096"/>
              <wp:effectExtent l="0" t="0" r="0" b="0"/>
              <wp:wrapSquare wrapText="bothSides"/>
              <wp:docPr id="41667" name="Group 416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720" name="Shape 437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21" name="Shape 4372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22" name="Shape 4372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67" style="width:564.12pt;height:0.47998pt;position:absolute;mso-position-horizontal-relative:page;mso-position-horizontal:absolute;margin-left:24pt;mso-position-vertical-relative:page;margin-top:24pt;" coordsize="71643,60">
              <v:shape id="Shape 43723" style="position:absolute;width:91;height:91;left:0;top:0;" coordsize="9144,9144" path="m0,0l9144,0l9144,9144l0,9144l0,0">
                <v:stroke weight="0pt" endcap="flat" joinstyle="miter" miterlimit="10" on="false" color="#000000" opacity="0"/>
                <v:fill on="true" color="#000000"/>
              </v:shape>
              <v:shape id="Shape 43724" style="position:absolute;width:71521;height:91;left:60;top:0;" coordsize="7152132,9144" path="m0,0l7152132,0l7152132,9144l0,9144l0,0">
                <v:stroke weight="0pt" endcap="flat" joinstyle="miter" miterlimit="10" on="false" color="#000000" opacity="0"/>
                <v:fill on="true" color="#000000"/>
              </v:shape>
              <v:shape id="Shape 4372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AC19D25" w14:textId="77777777" w:rsidR="00B31E83"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5D5CCB3D" wp14:editId="4BEDDDAB">
              <wp:simplePos x="0" y="0"/>
              <wp:positionH relativeFrom="page">
                <wp:posOffset>304800</wp:posOffset>
              </wp:positionH>
              <wp:positionV relativeFrom="page">
                <wp:posOffset>310897</wp:posOffset>
              </wp:positionV>
              <wp:extent cx="7164324" cy="9438132"/>
              <wp:effectExtent l="0" t="0" r="0" b="0"/>
              <wp:wrapNone/>
              <wp:docPr id="41671" name="Group 4167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43726" name="Shape 4372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27" name="Shape 43727"/>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71" style="width:564.12pt;height:743.16pt;position:absolute;z-index:-2147483648;mso-position-horizontal-relative:page;mso-position-horizontal:absolute;margin-left:24pt;mso-position-vertical-relative:page;margin-top:24.48pt;" coordsize="71643,94381">
              <v:shape id="Shape 43728" style="position:absolute;width:91;height:94381;left:0;top:0;" coordsize="9144,9438132" path="m0,0l9144,0l9144,9438132l0,9438132l0,0">
                <v:stroke weight="0pt" endcap="flat" joinstyle="miter" miterlimit="10" on="false" color="#000000" opacity="0"/>
                <v:fill on="true" color="#000000"/>
              </v:shape>
              <v:shape id="Shape 43729"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B162" w14:textId="77777777" w:rsidR="00B31E83" w:rsidRDefault="00000000">
    <w:pPr>
      <w:spacing w:after="0" w:line="259" w:lineRule="auto"/>
      <w:ind w:left="-1440" w:right="10872"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1B04B1A" wp14:editId="133E10CB">
              <wp:simplePos x="0" y="0"/>
              <wp:positionH relativeFrom="page">
                <wp:posOffset>304800</wp:posOffset>
              </wp:positionH>
              <wp:positionV relativeFrom="page">
                <wp:posOffset>304800</wp:posOffset>
              </wp:positionV>
              <wp:extent cx="7164324" cy="6096"/>
              <wp:effectExtent l="0" t="0" r="0" b="0"/>
              <wp:wrapSquare wrapText="bothSides"/>
              <wp:docPr id="41648" name="Group 4164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43710" name="Shape 437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11" name="Shape 4371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12" name="Shape 4371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48" style="width:564.12pt;height:0.47998pt;position:absolute;mso-position-horizontal-relative:page;mso-position-horizontal:absolute;margin-left:24pt;mso-position-vertical-relative:page;margin-top:24pt;" coordsize="71643,60">
              <v:shape id="Shape 43713" style="position:absolute;width:91;height:91;left:0;top:0;" coordsize="9144,9144" path="m0,0l9144,0l9144,9144l0,9144l0,0">
                <v:stroke weight="0pt" endcap="flat" joinstyle="miter" miterlimit="10" on="false" color="#000000" opacity="0"/>
                <v:fill on="true" color="#000000"/>
              </v:shape>
              <v:shape id="Shape 43714" style="position:absolute;width:71521;height:91;left:60;top:0;" coordsize="7152132,9144" path="m0,0l7152132,0l7152132,9144l0,9144l0,0">
                <v:stroke weight="0pt" endcap="flat" joinstyle="miter" miterlimit="10" on="false" color="#000000" opacity="0"/>
                <v:fill on="true" color="#000000"/>
              </v:shape>
              <v:shape id="Shape 4371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8C3DDDC" w14:textId="77777777" w:rsidR="00B31E83"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4F170866" wp14:editId="41AA03ED">
              <wp:simplePos x="0" y="0"/>
              <wp:positionH relativeFrom="page">
                <wp:posOffset>304800</wp:posOffset>
              </wp:positionH>
              <wp:positionV relativeFrom="page">
                <wp:posOffset>310897</wp:posOffset>
              </wp:positionV>
              <wp:extent cx="7164324" cy="9438132"/>
              <wp:effectExtent l="0" t="0" r="0" b="0"/>
              <wp:wrapNone/>
              <wp:docPr id="41652" name="Group 41652"/>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43716" name="Shape 4371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717" name="Shape 43717"/>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52" style="width:564.12pt;height:743.16pt;position:absolute;z-index:-2147483648;mso-position-horizontal-relative:page;mso-position-horizontal:absolute;margin-left:24pt;mso-position-vertical-relative:page;margin-top:24.48pt;" coordsize="71643,94381">
              <v:shape id="Shape 43718" style="position:absolute;width:91;height:94381;left:0;top:0;" coordsize="9144,9438132" path="m0,0l9144,0l9144,9438132l0,9438132l0,0">
                <v:stroke weight="0pt" endcap="flat" joinstyle="miter" miterlimit="10" on="false" color="#000000" opacity="0"/>
                <v:fill on="true" color="#000000"/>
              </v:shape>
              <v:shape id="Shape 43719"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F1DBD"/>
    <w:multiLevelType w:val="hybridMultilevel"/>
    <w:tmpl w:val="08D8AEA4"/>
    <w:lvl w:ilvl="0" w:tplc="470E4D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664B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CCDC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E245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0261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64AF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B6BF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02F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7289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EC738C"/>
    <w:multiLevelType w:val="hybridMultilevel"/>
    <w:tmpl w:val="39A49956"/>
    <w:lvl w:ilvl="0" w:tplc="04FC993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6403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AE6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4EE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C15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4A1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22B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852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640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CC6C50"/>
    <w:multiLevelType w:val="hybridMultilevel"/>
    <w:tmpl w:val="23B8B512"/>
    <w:lvl w:ilvl="0" w:tplc="F52E9A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E0CE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8255C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A093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D688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00B6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029D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18DC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E646D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674ADB"/>
    <w:multiLevelType w:val="hybridMultilevel"/>
    <w:tmpl w:val="13309678"/>
    <w:lvl w:ilvl="0" w:tplc="0CF0BB4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CA3E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0AF4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380D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50CC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76A9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04DA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FAA9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A03B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712DC6"/>
    <w:multiLevelType w:val="hybridMultilevel"/>
    <w:tmpl w:val="6F8CEEEE"/>
    <w:lvl w:ilvl="0" w:tplc="E9C6EE7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666D9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60D5C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8E5B0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ECFFD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18D48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524C2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56A24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E45E9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4F3C06"/>
    <w:multiLevelType w:val="hybridMultilevel"/>
    <w:tmpl w:val="C4D24330"/>
    <w:lvl w:ilvl="0" w:tplc="F54A9E78">
      <w:start w:val="1"/>
      <w:numFmt w:val="decimal"/>
      <w:lvlText w:val="%1."/>
      <w:lvlJc w:val="left"/>
      <w:pPr>
        <w:ind w:left="705"/>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1" w:tplc="034256A4">
      <w:start w:val="1"/>
      <w:numFmt w:val="lowerLetter"/>
      <w:lvlText w:val="%2"/>
      <w:lvlJc w:val="left"/>
      <w:pPr>
        <w:ind w:left="144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2" w:tplc="68ACE8AC">
      <w:start w:val="1"/>
      <w:numFmt w:val="lowerRoman"/>
      <w:lvlText w:val="%3"/>
      <w:lvlJc w:val="left"/>
      <w:pPr>
        <w:ind w:left="216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3" w:tplc="AD3A38EC">
      <w:start w:val="1"/>
      <w:numFmt w:val="decimal"/>
      <w:lvlText w:val="%4"/>
      <w:lvlJc w:val="left"/>
      <w:pPr>
        <w:ind w:left="288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4" w:tplc="10841EEA">
      <w:start w:val="1"/>
      <w:numFmt w:val="lowerLetter"/>
      <w:lvlText w:val="%5"/>
      <w:lvlJc w:val="left"/>
      <w:pPr>
        <w:ind w:left="360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5" w:tplc="831895EC">
      <w:start w:val="1"/>
      <w:numFmt w:val="lowerRoman"/>
      <w:lvlText w:val="%6"/>
      <w:lvlJc w:val="left"/>
      <w:pPr>
        <w:ind w:left="432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6" w:tplc="F6224156">
      <w:start w:val="1"/>
      <w:numFmt w:val="decimal"/>
      <w:lvlText w:val="%7"/>
      <w:lvlJc w:val="left"/>
      <w:pPr>
        <w:ind w:left="504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7" w:tplc="F16431E4">
      <w:start w:val="1"/>
      <w:numFmt w:val="lowerLetter"/>
      <w:lvlText w:val="%8"/>
      <w:lvlJc w:val="left"/>
      <w:pPr>
        <w:ind w:left="576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8" w:tplc="77FC8286">
      <w:start w:val="1"/>
      <w:numFmt w:val="lowerRoman"/>
      <w:lvlText w:val="%9"/>
      <w:lvlJc w:val="left"/>
      <w:pPr>
        <w:ind w:left="648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7E2225D"/>
    <w:multiLevelType w:val="hybridMultilevel"/>
    <w:tmpl w:val="F828D22A"/>
    <w:lvl w:ilvl="0" w:tplc="39968F8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142DD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44A57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FA32E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06F9A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B0ED2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FEFD1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2CDF2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E2725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5979216">
    <w:abstractNumId w:val="5"/>
  </w:num>
  <w:num w:numId="2" w16cid:durableId="324676248">
    <w:abstractNumId w:val="4"/>
  </w:num>
  <w:num w:numId="3" w16cid:durableId="1857038499">
    <w:abstractNumId w:val="2"/>
  </w:num>
  <w:num w:numId="4" w16cid:durableId="1194464053">
    <w:abstractNumId w:val="6"/>
  </w:num>
  <w:num w:numId="5" w16cid:durableId="1655570880">
    <w:abstractNumId w:val="0"/>
  </w:num>
  <w:num w:numId="6" w16cid:durableId="1199079032">
    <w:abstractNumId w:val="3"/>
  </w:num>
  <w:num w:numId="7" w16cid:durableId="2029915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E83"/>
    <w:rsid w:val="005F3FF3"/>
    <w:rsid w:val="00782E5B"/>
    <w:rsid w:val="00933828"/>
    <w:rsid w:val="00A818D7"/>
    <w:rsid w:val="00B31E83"/>
    <w:rsid w:val="00B45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708F"/>
  <w15:docId w15:val="{7CCD066F-9B50-4D5F-A86A-E9AE0B93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paragraph" w:styleId="Heading4">
    <w:name w:val="heading 4"/>
    <w:next w:val="Normal"/>
    <w:link w:val="Heading4Char"/>
    <w:uiPriority w:val="9"/>
    <w:unhideWhenUsed/>
    <w:qFormat/>
    <w:pPr>
      <w:keepNext/>
      <w:keepLines/>
      <w:spacing w:after="0" w:line="259" w:lineRule="auto"/>
      <w:ind w:left="10" w:right="97"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4Char">
    <w:name w:val="Heading 4 Char"/>
    <w:link w:val="Heading4"/>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51</Words>
  <Characters>291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DORM DASH FINAL</vt:lpstr>
    </vt:vector>
  </TitlesOfParts>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Summarization and Clause Classification of Indian Legal Documents Using NLP and Transformer Models</dc:title>
  <dc:subject>Machine Learning mini-project; pilot study</dc:subject>
  <dc:creator>Three-student team (two names pending)</dc:creator>
  <cp:keywords/>
  <cp:lastModifiedBy>soham saxena</cp:lastModifiedBy>
  <cp:revision>3</cp:revision>
  <dcterms:created xsi:type="dcterms:W3CDTF">2026-10-05T13:10:00Z</dcterms:created>
  <dcterms:modified xsi:type="dcterms:W3CDTF">2026-10-05T13:55:00Z</dcterms:modified>
</cp:coreProperties>
</file>