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F692" w14:textId="77777777" w:rsidR="00047357" w:rsidRDefault="00000000">
      <w:pPr>
        <w:jc w:val="center"/>
      </w:pPr>
      <w:r>
        <w:rPr>
          <w:b/>
          <w:sz w:val="52"/>
        </w:rPr>
        <w:t>ARYAN POC LIQUIDITY MODEL (APLM)</w:t>
      </w:r>
      <w:r>
        <w:rPr>
          <w:b/>
          <w:sz w:val="52"/>
        </w:rPr>
        <w:br/>
      </w:r>
      <w:r>
        <w:rPr>
          <w:sz w:val="32"/>
        </w:rPr>
        <w:br/>
        <w:t>A Session-Based Volume Profile &amp; Liquidity Framework</w:t>
      </w:r>
      <w:r>
        <w:rPr>
          <w:sz w:val="32"/>
        </w:rPr>
        <w:br/>
        <w:t>for Intraday XAUUSD Trading</w:t>
      </w:r>
      <w:r>
        <w:rPr>
          <w:sz w:val="32"/>
        </w:rPr>
        <w:br/>
      </w:r>
      <w:r>
        <w:rPr>
          <w:sz w:val="32"/>
        </w:rPr>
        <w:br/>
      </w:r>
      <w:r>
        <w:t>Professional Research Report</w:t>
      </w:r>
      <w:r>
        <w:br/>
      </w:r>
      <w:r>
        <w:br/>
        <w:t>Author: Aryan Govindbhai Patel</w:t>
      </w:r>
      <w:r>
        <w:br/>
        <w:t>Quant Research Intern – 2Cents Capital Limited</w:t>
      </w:r>
      <w:r>
        <w:br/>
        <w:t>Research Period: March 2026 – June 2026</w:t>
      </w:r>
      <w:r>
        <w:br/>
        <w:t>Market: XAUUSD | Timeframe: 5 Minute</w:t>
      </w:r>
    </w:p>
    <w:p w14:paraId="30E74490" w14:textId="77777777" w:rsidR="00047357" w:rsidRDefault="00000000">
      <w:r>
        <w:br w:type="page"/>
      </w:r>
    </w:p>
    <w:sdt>
      <w:sdtPr>
        <w:id w:val="16560375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22CF33F" w14:textId="20BB3B34" w:rsidR="00B72A78" w:rsidRDefault="00B72A78">
          <w:pPr>
            <w:pStyle w:val="TOCHeading"/>
          </w:pPr>
          <w:r>
            <w:t>Contents</w:t>
          </w:r>
        </w:p>
        <w:p w14:paraId="371A8E0F" w14:textId="13542305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90822" w:history="1">
            <w:r w:rsidRPr="002E3A6F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9537" w14:textId="5962E958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3" w:history="1">
            <w:r w:rsidRPr="002E3A6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288F" w14:textId="5D51851C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4" w:history="1">
            <w:r w:rsidRPr="002E3A6F">
              <w:rPr>
                <w:rStyle w:val="Hyperlink"/>
                <w:noProof/>
              </w:rPr>
              <w:t>Market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DE05" w14:textId="2A5829D0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5" w:history="1">
            <w:r w:rsidRPr="002E3A6F">
              <w:rPr>
                <w:rStyle w:val="Hyperlink"/>
                <w:noProof/>
              </w:rPr>
              <w:t>Strategy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718E" w14:textId="6A4D7D07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6" w:history="1">
            <w:r w:rsidRPr="002E3A6F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4BA6" w14:textId="6F12ECC5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7" w:history="1">
            <w:r w:rsidRPr="002E3A6F">
              <w:rPr>
                <w:rStyle w:val="Hyperlink"/>
                <w:noProof/>
              </w:rPr>
              <w:t>Trade Case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2EAD5" w14:textId="0A0D845A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8" w:history="1">
            <w:r w:rsidRPr="002E3A6F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CAD1" w14:textId="3498FD32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29" w:history="1">
            <w:r w:rsidRPr="002E3A6F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7ACF" w14:textId="788DF35A" w:rsidR="00B72A78" w:rsidRDefault="00B72A7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90830" w:history="1">
            <w:r w:rsidRPr="002E3A6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C7EFF" w14:textId="78BDB44F" w:rsidR="00B72A78" w:rsidRDefault="00B72A78">
          <w:r>
            <w:rPr>
              <w:b/>
              <w:bCs/>
              <w:noProof/>
            </w:rPr>
            <w:fldChar w:fldCharType="end"/>
          </w:r>
        </w:p>
      </w:sdtContent>
    </w:sdt>
    <w:p w14:paraId="4EAA5DC6" w14:textId="35F564E8" w:rsidR="00047357" w:rsidRDefault="00047357"/>
    <w:p w14:paraId="44263F76" w14:textId="77777777" w:rsidR="00B72A78" w:rsidRDefault="00B72A78"/>
    <w:p w14:paraId="3EF3B9AA" w14:textId="77777777" w:rsidR="00B72A78" w:rsidRDefault="00B72A78"/>
    <w:p w14:paraId="6A085A5F" w14:textId="77777777" w:rsidR="00B72A78" w:rsidRDefault="00B72A78"/>
    <w:p w14:paraId="4B565C18" w14:textId="77777777" w:rsidR="00B72A78" w:rsidRDefault="00B72A78"/>
    <w:p w14:paraId="1E7081D2" w14:textId="77777777" w:rsidR="00B72A78" w:rsidRDefault="00B72A78"/>
    <w:p w14:paraId="2A7A8509" w14:textId="77777777" w:rsidR="00B72A78" w:rsidRDefault="00B72A78"/>
    <w:p w14:paraId="06E0FC3E" w14:textId="77777777" w:rsidR="00B72A78" w:rsidRDefault="00B72A78"/>
    <w:p w14:paraId="5F8D7226" w14:textId="77777777" w:rsidR="00B72A78" w:rsidRDefault="00B72A78"/>
    <w:p w14:paraId="2689C7C5" w14:textId="77777777" w:rsidR="00B72A78" w:rsidRDefault="00B72A78"/>
    <w:p w14:paraId="12DA810D" w14:textId="77777777" w:rsidR="00B72A78" w:rsidRDefault="00B72A78"/>
    <w:p w14:paraId="5038C11E" w14:textId="77777777" w:rsidR="00B72A78" w:rsidRDefault="00B72A78"/>
    <w:p w14:paraId="401A07D9" w14:textId="77777777" w:rsidR="00B72A78" w:rsidRDefault="00B72A78"/>
    <w:p w14:paraId="6AAB7E03" w14:textId="77777777" w:rsidR="00B72A78" w:rsidRDefault="00B72A78"/>
    <w:p w14:paraId="153D7012" w14:textId="77777777" w:rsidR="00B72A78" w:rsidRDefault="00B72A78"/>
    <w:p w14:paraId="2377ED20" w14:textId="77777777" w:rsidR="00B72A78" w:rsidRDefault="00B72A78"/>
    <w:p w14:paraId="5D244C4E" w14:textId="77777777" w:rsidR="00B72A78" w:rsidRDefault="00B72A78"/>
    <w:p w14:paraId="1EE7B85B" w14:textId="77777777" w:rsidR="00B72A78" w:rsidRDefault="00B72A78"/>
    <w:p w14:paraId="0E1A7E89" w14:textId="77777777" w:rsidR="00B72A78" w:rsidRDefault="00B72A78"/>
    <w:p w14:paraId="6823A6BB" w14:textId="77777777" w:rsidR="00B72A78" w:rsidRDefault="00B72A78"/>
    <w:p w14:paraId="78DC4B2B" w14:textId="77777777" w:rsidR="00047357" w:rsidRDefault="00000000">
      <w:pPr>
        <w:pStyle w:val="Heading1"/>
      </w:pPr>
      <w:bookmarkStart w:id="0" w:name="_Toc231890822"/>
      <w:r>
        <w:t>Abstract</w:t>
      </w:r>
      <w:bookmarkEnd w:id="0"/>
    </w:p>
    <w:p w14:paraId="363CB372" w14:textId="77777777" w:rsidR="00047357" w:rsidRDefault="00000000">
      <w:r>
        <w:t>The Aryan POC Liquidity Model (APLM) is a discretionary trading framework that combines Fixed Range Volume Profile, Point of Control (POC), Smart Money Concepts, and session liquidity analysis. The model focuses on identifying high-probability opportunities during the New York session.</w:t>
      </w:r>
    </w:p>
    <w:p w14:paraId="51BCFBF2" w14:textId="77777777" w:rsidR="00047357" w:rsidRDefault="00000000">
      <w:pPr>
        <w:pStyle w:val="Heading1"/>
      </w:pPr>
      <w:bookmarkStart w:id="1" w:name="_Toc231890823"/>
      <w:r>
        <w:t>Introduction</w:t>
      </w:r>
      <w:bookmarkEnd w:id="1"/>
    </w:p>
    <w:p w14:paraId="5A1A6375" w14:textId="77777777" w:rsidR="00047357" w:rsidRDefault="00000000">
      <w:r>
        <w:t>Most retail traders focus on indicators, while institutions focus on liquidity. APLM was developed around the concept that the Point of Control acts as a liquidity magnet and institutional reference level.</w:t>
      </w:r>
    </w:p>
    <w:p w14:paraId="4166529A" w14:textId="77777777" w:rsidR="00047357" w:rsidRDefault="00000000">
      <w:pPr>
        <w:pStyle w:val="Heading1"/>
      </w:pPr>
      <w:bookmarkStart w:id="2" w:name="_Toc231890824"/>
      <w:r>
        <w:t>Market Theory</w:t>
      </w:r>
      <w:bookmarkEnd w:id="2"/>
    </w:p>
    <w:p w14:paraId="0D7BA249" w14:textId="77777777" w:rsidR="00047357" w:rsidRDefault="00000000">
      <w:r>
        <w:t>Liquidity is created during the Asian session, expanded during London, and often released through directional movement during New York. The model seeks to align with this sequence.</w:t>
      </w:r>
    </w:p>
    <w:p w14:paraId="5B0D70CE" w14:textId="77777777" w:rsidR="00047357" w:rsidRDefault="00000000">
      <w:pPr>
        <w:pStyle w:val="Heading1"/>
      </w:pPr>
      <w:bookmarkStart w:id="3" w:name="_Toc231890825"/>
      <w:r>
        <w:t>Strategy Construction</w:t>
      </w:r>
      <w:bookmarkEnd w:id="3"/>
    </w:p>
    <w:p w14:paraId="2DAD8812" w14:textId="77777777" w:rsidR="00047357" w:rsidRDefault="00000000">
      <w:r>
        <w:t>A Fixed Range Volume Profile is drawn from 5:30 AM IST to 5:30 PM IST. The Point of Control, Value Area High, and Value Area Low are extracted. POC serves as the primary decision-making level.</w:t>
      </w:r>
    </w:p>
    <w:p w14:paraId="7549F054" w14:textId="77777777" w:rsidR="00047357" w:rsidRDefault="00000000">
      <w:pPr>
        <w:pStyle w:val="Heading1"/>
      </w:pPr>
      <w:bookmarkStart w:id="4" w:name="_Toc231890826"/>
      <w:r>
        <w:t>Performance Metrics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357" w14:paraId="2D64DE8C" w14:textId="77777777">
        <w:tc>
          <w:tcPr>
            <w:tcW w:w="4320" w:type="dxa"/>
          </w:tcPr>
          <w:p w14:paraId="3095C5E5" w14:textId="77777777" w:rsidR="00047357" w:rsidRDefault="00000000">
            <w:r>
              <w:t>Metric</w:t>
            </w:r>
          </w:p>
        </w:tc>
        <w:tc>
          <w:tcPr>
            <w:tcW w:w="4320" w:type="dxa"/>
          </w:tcPr>
          <w:p w14:paraId="7CD5B3EF" w14:textId="77777777" w:rsidR="00047357" w:rsidRDefault="00000000">
            <w:r>
              <w:t>Result</w:t>
            </w:r>
          </w:p>
        </w:tc>
      </w:tr>
      <w:tr w:rsidR="00047357" w14:paraId="5F2C0128" w14:textId="77777777">
        <w:tc>
          <w:tcPr>
            <w:tcW w:w="4320" w:type="dxa"/>
          </w:tcPr>
          <w:p w14:paraId="11BA6B1E" w14:textId="77777777" w:rsidR="00047357" w:rsidRDefault="00000000">
            <w:r>
              <w:t>Market</w:t>
            </w:r>
          </w:p>
        </w:tc>
        <w:tc>
          <w:tcPr>
            <w:tcW w:w="4320" w:type="dxa"/>
          </w:tcPr>
          <w:p w14:paraId="37AC119A" w14:textId="77777777" w:rsidR="00047357" w:rsidRDefault="00000000">
            <w:r>
              <w:t>XAUUSD</w:t>
            </w:r>
          </w:p>
        </w:tc>
      </w:tr>
      <w:tr w:rsidR="00047357" w14:paraId="3EAEA42E" w14:textId="77777777">
        <w:tc>
          <w:tcPr>
            <w:tcW w:w="4320" w:type="dxa"/>
          </w:tcPr>
          <w:p w14:paraId="36354EEC" w14:textId="77777777" w:rsidR="00047357" w:rsidRDefault="00000000">
            <w:r>
              <w:t>Timeframe</w:t>
            </w:r>
          </w:p>
        </w:tc>
        <w:tc>
          <w:tcPr>
            <w:tcW w:w="4320" w:type="dxa"/>
          </w:tcPr>
          <w:p w14:paraId="36218316" w14:textId="77777777" w:rsidR="00047357" w:rsidRDefault="00000000">
            <w:r>
              <w:t>5 Minute</w:t>
            </w:r>
          </w:p>
        </w:tc>
      </w:tr>
      <w:tr w:rsidR="00047357" w14:paraId="7599410C" w14:textId="77777777">
        <w:tc>
          <w:tcPr>
            <w:tcW w:w="4320" w:type="dxa"/>
          </w:tcPr>
          <w:p w14:paraId="4CDD5399" w14:textId="77777777" w:rsidR="00047357" w:rsidRDefault="00000000">
            <w:r>
              <w:t>Backtest Period</w:t>
            </w:r>
          </w:p>
        </w:tc>
        <w:tc>
          <w:tcPr>
            <w:tcW w:w="4320" w:type="dxa"/>
          </w:tcPr>
          <w:p w14:paraId="61DCFB15" w14:textId="77777777" w:rsidR="00047357" w:rsidRDefault="00000000">
            <w:r>
              <w:t>Mar 2026 - Jun 2026</w:t>
            </w:r>
          </w:p>
        </w:tc>
      </w:tr>
      <w:tr w:rsidR="00047357" w14:paraId="6D5455F8" w14:textId="77777777">
        <w:tc>
          <w:tcPr>
            <w:tcW w:w="4320" w:type="dxa"/>
          </w:tcPr>
          <w:p w14:paraId="13616332" w14:textId="77777777" w:rsidR="00047357" w:rsidRDefault="00000000">
            <w:r>
              <w:t>Trades Tested</w:t>
            </w:r>
          </w:p>
        </w:tc>
        <w:tc>
          <w:tcPr>
            <w:tcW w:w="4320" w:type="dxa"/>
          </w:tcPr>
          <w:p w14:paraId="1A273621" w14:textId="77777777" w:rsidR="00047357" w:rsidRDefault="00000000">
            <w:r>
              <w:t>100+</w:t>
            </w:r>
          </w:p>
        </w:tc>
      </w:tr>
      <w:tr w:rsidR="00047357" w14:paraId="2B40C6E1" w14:textId="77777777">
        <w:tc>
          <w:tcPr>
            <w:tcW w:w="4320" w:type="dxa"/>
          </w:tcPr>
          <w:p w14:paraId="5772FDF5" w14:textId="77777777" w:rsidR="00047357" w:rsidRDefault="00000000">
            <w:r>
              <w:t>Win Rate</w:t>
            </w:r>
          </w:p>
        </w:tc>
        <w:tc>
          <w:tcPr>
            <w:tcW w:w="4320" w:type="dxa"/>
          </w:tcPr>
          <w:p w14:paraId="71858B60" w14:textId="77777777" w:rsidR="00047357" w:rsidRDefault="00000000">
            <w:r>
              <w:t>~66%</w:t>
            </w:r>
          </w:p>
        </w:tc>
      </w:tr>
      <w:tr w:rsidR="00047357" w14:paraId="78578C89" w14:textId="77777777">
        <w:tc>
          <w:tcPr>
            <w:tcW w:w="4320" w:type="dxa"/>
          </w:tcPr>
          <w:p w14:paraId="6F1A79E1" w14:textId="77777777" w:rsidR="00047357" w:rsidRDefault="00000000">
            <w:r>
              <w:t>Average Risk : Reward</w:t>
            </w:r>
          </w:p>
        </w:tc>
        <w:tc>
          <w:tcPr>
            <w:tcW w:w="4320" w:type="dxa"/>
          </w:tcPr>
          <w:p w14:paraId="65C2AC44" w14:textId="77777777" w:rsidR="00047357" w:rsidRDefault="00000000">
            <w:r>
              <w:t>2.2 : 1</w:t>
            </w:r>
          </w:p>
        </w:tc>
      </w:tr>
      <w:tr w:rsidR="00047357" w14:paraId="016F4448" w14:textId="77777777">
        <w:tc>
          <w:tcPr>
            <w:tcW w:w="4320" w:type="dxa"/>
          </w:tcPr>
          <w:p w14:paraId="51B749D2" w14:textId="77777777" w:rsidR="00047357" w:rsidRDefault="00000000">
            <w:r>
              <w:t>Max Consecutive Losses</w:t>
            </w:r>
          </w:p>
        </w:tc>
        <w:tc>
          <w:tcPr>
            <w:tcW w:w="4320" w:type="dxa"/>
          </w:tcPr>
          <w:p w14:paraId="7F97E669" w14:textId="77777777" w:rsidR="00047357" w:rsidRDefault="00000000">
            <w:r>
              <w:t>2</w:t>
            </w:r>
          </w:p>
        </w:tc>
      </w:tr>
      <w:tr w:rsidR="00047357" w14:paraId="1431B633" w14:textId="77777777">
        <w:tc>
          <w:tcPr>
            <w:tcW w:w="4320" w:type="dxa"/>
          </w:tcPr>
          <w:p w14:paraId="249B34A2" w14:textId="77777777" w:rsidR="00047357" w:rsidRDefault="00000000">
            <w:r>
              <w:t>Expected Value</w:t>
            </w:r>
          </w:p>
        </w:tc>
        <w:tc>
          <w:tcPr>
            <w:tcW w:w="4320" w:type="dxa"/>
          </w:tcPr>
          <w:p w14:paraId="713EE059" w14:textId="77777777" w:rsidR="00047357" w:rsidRDefault="00000000">
            <w:r>
              <w:t>~ +1.11R per trade</w:t>
            </w:r>
          </w:p>
        </w:tc>
      </w:tr>
    </w:tbl>
    <w:p w14:paraId="52278823" w14:textId="77777777" w:rsidR="00047357" w:rsidRDefault="00000000">
      <w:r>
        <w:br w:type="page"/>
      </w:r>
    </w:p>
    <w:p w14:paraId="519E76BD" w14:textId="77777777" w:rsidR="00047357" w:rsidRDefault="00000000">
      <w:pPr>
        <w:pStyle w:val="Heading1"/>
      </w:pPr>
      <w:bookmarkStart w:id="5" w:name="_Toc231890827"/>
      <w:r>
        <w:t>Trade Case Studies</w:t>
      </w:r>
      <w:bookmarkEnd w:id="5"/>
    </w:p>
    <w:p w14:paraId="473E0A33" w14:textId="77777777" w:rsidR="00047357" w:rsidRDefault="00000000">
      <w:r>
        <w:t>The following examples illustrate POC interaction, liquidity capture, and directional expansion during the New York session.</w:t>
      </w:r>
    </w:p>
    <w:p w14:paraId="321A22B1" w14:textId="77777777" w:rsidR="00047357" w:rsidRDefault="00000000">
      <w:r>
        <w:rPr>
          <w:noProof/>
        </w:rPr>
        <w:drawing>
          <wp:inline distT="0" distB="0" distL="0" distR="0" wp14:anchorId="2604AFA0" wp14:editId="1CD2483F">
            <wp:extent cx="5303520" cy="2983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6 1155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A3D0" w14:textId="77777777" w:rsidR="00047357" w:rsidRDefault="00000000">
      <w:r>
        <w:t>Example trade setup demonstrating the Aryan POC Liquidity Model.</w:t>
      </w:r>
    </w:p>
    <w:p w14:paraId="4CE62F4A" w14:textId="77777777" w:rsidR="00047357" w:rsidRDefault="00000000">
      <w:r>
        <w:rPr>
          <w:noProof/>
        </w:rPr>
        <w:drawing>
          <wp:inline distT="0" distB="0" distL="0" distR="0" wp14:anchorId="4A2A586D" wp14:editId="558F28A2">
            <wp:extent cx="5303520" cy="2980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6 133307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03B9" w14:textId="77777777" w:rsidR="00047357" w:rsidRDefault="00000000">
      <w:r>
        <w:t>Example trade setup demonstrating the Aryan POC Liquidity Model.</w:t>
      </w:r>
    </w:p>
    <w:p w14:paraId="62E8A1E1" w14:textId="77777777" w:rsidR="00047357" w:rsidRDefault="00000000">
      <w:r>
        <w:rPr>
          <w:noProof/>
        </w:rPr>
        <w:drawing>
          <wp:inline distT="0" distB="0" distL="0" distR="0" wp14:anchorId="7016C34A" wp14:editId="344ED210">
            <wp:extent cx="5303520" cy="2983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6 133837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0E22" w14:textId="77777777" w:rsidR="00047357" w:rsidRDefault="00000000">
      <w:r>
        <w:t>Example trade setup demonstrating the Aryan POC Liquidity Model.</w:t>
      </w:r>
    </w:p>
    <w:p w14:paraId="6B05D636" w14:textId="77777777" w:rsidR="00047357" w:rsidRDefault="00000000">
      <w:r>
        <w:br w:type="page"/>
      </w:r>
    </w:p>
    <w:p w14:paraId="59F7C7BB" w14:textId="77777777" w:rsidR="00047357" w:rsidRDefault="00000000">
      <w:pPr>
        <w:pStyle w:val="Heading1"/>
      </w:pPr>
      <w:bookmarkStart w:id="6" w:name="_Toc231890828"/>
      <w:r>
        <w:t>Risk Management</w:t>
      </w:r>
      <w:bookmarkEnd w:id="6"/>
    </w:p>
    <w:p w14:paraId="11B6435A" w14:textId="77777777" w:rsidR="00047357" w:rsidRDefault="00000000">
      <w:r>
        <w:t>Recommended risk per trade is 1%. Stop losses generally range between 100–200 points based on structure and volatility. Profit objectives focus on 1.5R–2R to maximize long-term compounding.</w:t>
      </w:r>
    </w:p>
    <w:p w14:paraId="1842952F" w14:textId="77777777" w:rsidR="00047357" w:rsidRDefault="00000000">
      <w:pPr>
        <w:pStyle w:val="Heading1"/>
      </w:pPr>
      <w:bookmarkStart w:id="7" w:name="_Toc231890829"/>
      <w:r>
        <w:t>Limitations</w:t>
      </w:r>
      <w:bookmarkEnd w:id="7"/>
    </w:p>
    <w:p w14:paraId="4D61FC79" w14:textId="77777777" w:rsidR="00047357" w:rsidRDefault="00000000">
      <w:r>
        <w:t>The framework contains discretionary elements and requires experience in liquidity interpretation. Performance may decline during low-liquidity environments and major news events.</w:t>
      </w:r>
    </w:p>
    <w:p w14:paraId="431F83FA" w14:textId="77777777" w:rsidR="00047357" w:rsidRDefault="00000000">
      <w:pPr>
        <w:pStyle w:val="Heading1"/>
      </w:pPr>
      <w:bookmarkStart w:id="8" w:name="_Toc231890830"/>
      <w:r>
        <w:t>Conclusion</w:t>
      </w:r>
      <w:bookmarkEnd w:id="8"/>
    </w:p>
    <w:p w14:paraId="2B16D561" w14:textId="77777777" w:rsidR="00047357" w:rsidRDefault="00000000">
      <w:r>
        <w:t>APLM demonstrates that combining volume profile analysis with liquidity concepts can create a repeatable framework for intraday XAUUSD trading. The model produced approximately 66% win rate with a 2.2:1 reward-to-risk profile during manual testing.</w:t>
      </w:r>
    </w:p>
    <w:sectPr w:rsidR="00047357" w:rsidSect="00034616"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CD2F" w14:textId="77777777" w:rsidR="00BB15B2" w:rsidRDefault="00BB15B2">
      <w:pPr>
        <w:spacing w:after="0" w:line="240" w:lineRule="auto"/>
      </w:pPr>
      <w:r>
        <w:separator/>
      </w:r>
    </w:p>
  </w:endnote>
  <w:endnote w:type="continuationSeparator" w:id="0">
    <w:p w14:paraId="37EFADB1" w14:textId="77777777" w:rsidR="00BB15B2" w:rsidRDefault="00BB1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980A" w14:textId="77777777" w:rsidR="00047357" w:rsidRDefault="00000000">
    <w:pPr>
      <w:pStyle w:val="Footer"/>
      <w:jc w:val="center"/>
    </w:pPr>
    <w:r>
      <w:fldChar w:fldCharType="begin"/>
    </w:r>
    <w:r>
      <w:instrText>PAGE</w:instrText>
    </w:r>
    <w:r w:rsidR="00B72A78">
      <w:fldChar w:fldCharType="separate"/>
    </w:r>
    <w:r w:rsidR="00B72A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3FF6D" w14:textId="77777777" w:rsidR="00BB15B2" w:rsidRDefault="00BB15B2">
      <w:pPr>
        <w:spacing w:after="0" w:line="240" w:lineRule="auto"/>
      </w:pPr>
      <w:r>
        <w:separator/>
      </w:r>
    </w:p>
  </w:footnote>
  <w:footnote w:type="continuationSeparator" w:id="0">
    <w:p w14:paraId="53618B75" w14:textId="77777777" w:rsidR="00BB15B2" w:rsidRDefault="00BB1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27275">
    <w:abstractNumId w:val="8"/>
  </w:num>
  <w:num w:numId="2" w16cid:durableId="2004384665">
    <w:abstractNumId w:val="6"/>
  </w:num>
  <w:num w:numId="3" w16cid:durableId="998844058">
    <w:abstractNumId w:val="5"/>
  </w:num>
  <w:num w:numId="4" w16cid:durableId="1169713200">
    <w:abstractNumId w:val="4"/>
  </w:num>
  <w:num w:numId="5" w16cid:durableId="1251164401">
    <w:abstractNumId w:val="7"/>
  </w:num>
  <w:num w:numId="6" w16cid:durableId="1744991150">
    <w:abstractNumId w:val="3"/>
  </w:num>
  <w:num w:numId="7" w16cid:durableId="1120609069">
    <w:abstractNumId w:val="2"/>
  </w:num>
  <w:num w:numId="8" w16cid:durableId="1222987190">
    <w:abstractNumId w:val="1"/>
  </w:num>
  <w:num w:numId="9" w16cid:durableId="99372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57"/>
    <w:rsid w:val="0006063C"/>
    <w:rsid w:val="0015074B"/>
    <w:rsid w:val="0029639D"/>
    <w:rsid w:val="00326F90"/>
    <w:rsid w:val="006002A7"/>
    <w:rsid w:val="00AA1D8D"/>
    <w:rsid w:val="00B47730"/>
    <w:rsid w:val="00B72A78"/>
    <w:rsid w:val="00BB15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8091E"/>
  <w14:defaultImageDpi w14:val="300"/>
  <w15:docId w15:val="{AC0A30D9-33BA-4ACE-B4BD-6DF2FA3C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A7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2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A govindbhai</cp:lastModifiedBy>
  <cp:revision>2</cp:revision>
  <dcterms:created xsi:type="dcterms:W3CDTF">2013-12-23T23:15:00Z</dcterms:created>
  <dcterms:modified xsi:type="dcterms:W3CDTF">2026-06-09T04:17:00Z</dcterms:modified>
  <cp:category/>
</cp:coreProperties>
</file>