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ARYAN POC LIQUIDITY MODEL (APLM)</w:t>
        <w:br/>
      </w:r>
      <w:r>
        <w:t>A Session-Based Volume Profile Framework for Intraday XAUUSD Trading</w:t>
        <w:br/>
        <w:br/>
      </w:r>
      <w:r>
        <w:t>Author: Aryan Govindbhai Patel</w:t>
        <w:br/>
      </w:r>
      <w:r>
        <w:t>Quant Research Intern – 2Cents Capital</w:t>
        <w:br/>
      </w:r>
      <w:r>
        <w:t>Research Period: March 2026 – June 2026</w:t>
      </w:r>
    </w:p>
    <w:p>
      <w:r>
        <w:br w:type="page"/>
      </w:r>
    </w:p>
    <w:p>
      <w:r>
        <w:rPr>
          <w:b/>
          <w:sz w:val="32"/>
        </w:rPr>
        <w:t>Abstract</w:t>
      </w:r>
    </w:p>
    <w:p>
      <w:r>
        <w:t>This research presents the Aryan POC Liquidity Model (APLM), a discretionary intraday trading framework developed for XAUUSD. The strategy combines Fixed Range Volume Profile, Point of Control (POC), Smart Money Concepts (SMC), and session liquidity analysis to identify high-probability opportunities during the New York session.</w:t>
      </w:r>
    </w:p>
    <w:p>
      <w:r>
        <w:t>This research presents the Aryan POC Liquidity Model (APLM), a discretionary intraday trading framework developed for XAUUSD. The strategy combines Fixed Range Volume Profile, Point of Control (POC), Smart Money Concepts (SMC), and session liquidity analysis to identify high-probability opportunities during the New York session.</w:t>
      </w:r>
    </w:p>
    <w:p>
      <w:r>
        <w:t>This research presents the Aryan POC Liquidity Model (APLM), a discretionary intraday trading framework developed for XAUUSD. The strategy combines Fixed Range Volume Profile, Point of Control (POC), Smart Money Concepts (SMC), and session liquidity analysis to identify high-probability opportunities during the New York session.</w:t>
      </w:r>
    </w:p>
    <w:p>
      <w:r>
        <w:rPr>
          <w:b/>
          <w:sz w:val="32"/>
        </w:rPr>
        <w:t>Introduction</w:t>
      </w:r>
    </w:p>
    <w:p>
      <w:r>
        <w:t>Most retail traders rely on indicators while institutions focus on liquidity and volume concentration. APLM attempts to identify institutional participation through the Point of Control and session-based liquidity behavior.</w:t>
      </w:r>
    </w:p>
    <w:p>
      <w:r>
        <w:t>Most retail traders rely on indicators while institutions focus on liquidity and volume concentration. APLM attempts to identify institutional participation through the Point of Control and session-based liquidity behavior.</w:t>
      </w:r>
    </w:p>
    <w:p>
      <w:r>
        <w:t>Most retail traders rely on indicators while institutions focus on liquidity and volume concentration. APLM attempts to identify institutional participation through the Point of Control and session-based liquidity behavior.</w:t>
      </w:r>
    </w:p>
    <w:p>
      <w:r>
        <w:rPr>
          <w:b/>
          <w:sz w:val="32"/>
        </w:rPr>
        <w:t>Core Hypothesis</w:t>
      </w:r>
    </w:p>
    <w:p>
      <w:r>
        <w:t>The Point of Control acts as a liquidity magnet. Liquidity generated during Asian and London sessions accumulates around important volume levels. When New York liquidity enters the market, price frequently expands directionally from these zones.</w:t>
      </w:r>
    </w:p>
    <w:p>
      <w:r>
        <w:t>The Point of Control acts as a liquidity magnet. Liquidity generated during Asian and London sessions accumulates around important volume levels. When New York liquidity enters the market, price frequently expands directionally from these zones.</w:t>
      </w:r>
    </w:p>
    <w:p>
      <w:r>
        <w:t>The Point of Control acts as a liquidity magnet. Liquidity generated during Asian and London sessions accumulates around important volume levels. When New York liquidity enters the market, price frequently expands directionally from these zones.</w:t>
      </w:r>
    </w:p>
    <w:p>
      <w:r>
        <w:rPr>
          <w:b/>
          <w:sz w:val="32"/>
        </w:rPr>
        <w:t>Strategy Framework</w:t>
      </w:r>
    </w:p>
    <w:p>
      <w:r>
        <w:t>Volume Profile is drawn from 5:30 AM IST to 5:30 PM IST. POC, VAH and VAL are extracted. POC serves as the primary institutional reference level.</w:t>
      </w:r>
    </w:p>
    <w:p>
      <w:r>
        <w:t>Volume Profile is drawn from 5:30 AM IST to 5:30 PM IST. POC, VAH and VAL are extracted. POC serves as the primary institutional reference level.</w:t>
      </w:r>
    </w:p>
    <w:p>
      <w:r>
        <w:t>Volume Profile is drawn from 5:30 AM IST to 5:30 PM IST. POC, VAH and VAL are extracted. POC serves as the primary institutional reference level.</w:t>
      </w:r>
    </w:p>
    <w:p>
      <w:r>
        <w:rPr>
          <w:b/>
          <w:sz w:val="32"/>
        </w:rPr>
        <w:t>Daily Bias</w:t>
      </w:r>
    </w:p>
    <w:p>
      <w:r>
        <w:t>Bullish bias occurs when downside liquidity has already been captured and the market seeks internal liquidity to the upside. Bearish bias follows the opposite logic.</w:t>
      </w:r>
    </w:p>
    <w:p>
      <w:r>
        <w:t>Bullish bias occurs when downside liquidity has already been captured and the market seeks internal liquidity to the upside. Bearish bias follows the opposite logic.</w:t>
      </w:r>
    </w:p>
    <w:p>
      <w:r>
        <w:t>Bullish bias occurs when downside liquidity has already been captured and the market seeks internal liquidity to the upside. Bearish bias follows the opposite logic.</w:t>
      </w:r>
    </w:p>
    <w:p>
      <w:r>
        <w:rPr>
          <w:b/>
          <w:sz w:val="32"/>
        </w:rPr>
        <w:t>Trade Execution</w:t>
      </w:r>
    </w:p>
    <w:p>
      <w:r>
        <w:t>Market: XAUUSD. Timeframe: 5 Minute. Session: New York (5:30 PM–8:30 PM IST). Trades are executed when price interacts with POC and aligns with liquidity objectives.</w:t>
      </w:r>
    </w:p>
    <w:p>
      <w:r>
        <w:t>Market: XAUUSD. Timeframe: 5 Minute. Session: New York (5:30 PM–8:30 PM IST). Trades are executed when price interacts with POC and aligns with liquidity objectives.</w:t>
      </w:r>
    </w:p>
    <w:p>
      <w:r>
        <w:t>Market: XAUUSD. Timeframe: 5 Minute. Session: New York (5:30 PM–8:30 PM IST). Trades are executed when price interacts with POC and aligns with liquidity objectives.</w:t>
      </w:r>
    </w:p>
    <w:p>
      <w:r>
        <w:rPr>
          <w:b/>
          <w:sz w:val="32"/>
        </w:rPr>
        <w:t>Risk Management</w:t>
      </w:r>
    </w:p>
    <w:p>
      <w:r>
        <w:t>Stop losses generally range from 100–200 points depending on market structure and volatility. Profit targets focus on 1.5R–2R to maximize consistency and compounding.</w:t>
      </w:r>
    </w:p>
    <w:p>
      <w:r>
        <w:t>Stop losses generally range from 100–200 points depending on market structure and volatility. Profit targets focus on 1.5R–2R to maximize consistency and compounding.</w:t>
      </w:r>
    </w:p>
    <w:p>
      <w:r>
        <w:t>Stop losses generally range from 100–200 points depending on market structure and volatility. Profit targets focus on 1.5R–2R to maximize consistency and compounding.</w:t>
      </w:r>
    </w:p>
    <w:p>
      <w:r>
        <w:rPr>
          <w:b/>
          <w:sz w:val="32"/>
        </w:rPr>
        <w:t>Backtest Results</w:t>
      </w:r>
    </w:p>
    <w:p>
      <w:r>
        <w:t>Manual backtesting from March 2026 to June 2026 produced approximately 34 winning outcomes and 4 losing outcomes in recorded trade opportunities. The strategy maintained around 66% win rate and 2.2:1 average reward-to-risk ratio.</w:t>
      </w:r>
    </w:p>
    <w:p>
      <w:r>
        <w:t>Manual backtesting from March 2026 to June 2026 produced approximately 34 winning outcomes and 4 losing outcomes in recorded trade opportunities. The strategy maintained around 66% win rate and 2.2:1 average reward-to-risk ratio.</w:t>
      </w:r>
    </w:p>
    <w:p>
      <w:r>
        <w:t>Manual backtesting from March 2026 to June 2026 produced approximately 34 winning outcomes and 4 losing outcomes in recorded trade opportunities. The strategy maintained around 66% win rate and 2.2:1 average reward-to-risk ratio.</w:t>
      </w:r>
    </w:p>
    <w:p>
      <w:r>
        <w:rPr>
          <w:b/>
          <w:sz w:val="32"/>
        </w:rPr>
        <w:t>Strengths and Limitations</w:t>
      </w:r>
    </w:p>
    <w:p>
      <w:r>
        <w:t>The framework is simple and intuitive but includes discretionary elements. Performance may decrease during low-liquidity or highly choppy market conditions.</w:t>
      </w:r>
    </w:p>
    <w:p>
      <w:r>
        <w:t>The framework is simple and intuitive but includes discretionary elements. Performance may decrease during low-liquidity or highly choppy market conditions.</w:t>
      </w:r>
    </w:p>
    <w:p>
      <w:r>
        <w:t>The framework is simple and intuitive but includes discretionary elements. Performance may decrease during low-liquidity or highly choppy market conditions.</w:t>
      </w:r>
    </w:p>
    <w:p>
      <w:r>
        <w:rPr>
          <w:b/>
          <w:sz w:val="32"/>
        </w:rPr>
        <w:t>Conclusion</w:t>
      </w:r>
    </w:p>
    <w:p>
      <w:r>
        <w:t>The Aryan POC Liquidity Model demonstrates that volume profile and liquidity-based analysis can provide a repeatable framework for intraday XAUUSD trading when paired with disciplined execution.</w:t>
      </w:r>
    </w:p>
    <w:p>
      <w:r>
        <w:t>The Aryan POC Liquidity Model demonstrates that volume profile and liquidity-based analysis can provide a repeatable framework for intraday XAUUSD trading when paired with disciplined execution.</w:t>
      </w:r>
    </w:p>
    <w:p>
      <w:r>
        <w:t>The Aryan POC Liquidity Model demonstrates that volume profile and liquidity-based analysis can provide a repeatable framework for intraday XAUUSD trading when paired with disciplined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