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0"/>
        <w:jc w:val="center"/>
      </w:pPr>
      <w:r>
        <w:rPr>
          <w:rFonts w:ascii="Cambria" w:cs="Cambria" w:eastAsia="Cambria" w:hAnsi="Cambria"/>
          <w:b/>
          <w:bCs/>
          <w:color w:val="1B2A4A"/>
          <w:spacing w:val="30"/>
          <w:sz w:val="34"/>
          <w:szCs w:val="34"/>
        </w:rPr>
        <w:t xml:space="preserve">2CENT CAPITAL</w:t>
      </w:r>
    </w:p>
    <w:p>
      <w:pPr>
        <w:spacing w:after="700" w:before="40"/>
        <w:jc w:val="center"/>
      </w:pPr>
      <w:r>
        <w:rPr>
          <w:rFonts w:ascii="Cambria" w:cs="Cambria" w:eastAsia="Cambria" w:hAnsi="Cambria"/>
          <w:b/>
          <w:bCs/>
          <w:color w:val="B8862E"/>
          <w:spacing w:val="20"/>
          <w:sz w:val="20"/>
          <w:szCs w:val="20"/>
        </w:rPr>
        <w:t xml:space="preserve">QUANT RESEARCH DESK  •  INTERNSHIP PROGRAM</w:t>
      </w:r>
    </w:p>
    <w:p>
      <w:pPr>
        <w:spacing w:after="100" w:before="1400"/>
        <w:jc w:val="center"/>
      </w:pPr>
      <w:r>
        <w:rPr>
          <w:rFonts w:ascii="Cambria" w:cs="Cambria" w:eastAsia="Cambria" w:hAnsi="Cambria"/>
          <w:color w:val="44506B"/>
          <w:spacing w:val="40"/>
          <w:sz w:val="22"/>
          <w:szCs w:val="22"/>
        </w:rPr>
        <w:t xml:space="preserve">RESEARCH REPORT</w:t>
      </w:r>
    </w:p>
    <w:p>
      <w:pPr>
        <w:spacing w:after="200" w:before="200"/>
        <w:jc w:val="center"/>
      </w:pPr>
      <w:r>
        <w:rPr>
          <w:rFonts w:ascii="Cambria" w:cs="Cambria" w:eastAsia="Cambria" w:hAnsi="Cambria"/>
          <w:color w:val="222222"/>
          <w:sz w:val="26"/>
          <w:szCs w:val="26"/>
        </w:rPr>
        <w:t xml:space="preserve">Development, Design Logic and Empirical Evaluation of a</w:t>
      </w:r>
    </w:p>
    <w:p>
      <w:pPr>
        <w:spacing w:after="600" w:before="0"/>
        <w:jc w:val="center"/>
      </w:pPr>
      <w:r>
        <w:rPr>
          <w:rFonts w:ascii="Cambria" w:cs="Cambria" w:eastAsia="Cambria" w:hAnsi="Cambria"/>
          <w:b/>
          <w:bCs/>
          <w:color w:val="1B2A4A"/>
          <w:sz w:val="40"/>
          <w:szCs w:val="40"/>
        </w:rPr>
        <w:t xml:space="preserve">Multi-Component Price-Action &amp; Market-Structure Indicator</w:t>
      </w:r>
    </w:p>
    <w:p>
      <w:pPr>
        <w:spacing w:after="1000" w:before="0"/>
        <w:jc w:val="center"/>
      </w:pPr>
      <w:r>
        <w:rPr>
          <w:rFonts w:ascii="Cambria" w:cs="Cambria" w:eastAsia="Cambria" w:hAnsi="Cambria"/>
          <w:i/>
          <w:iCs/>
          <w:color w:val="44506B"/>
          <w:sz w:val="24"/>
          <w:szCs w:val="24"/>
        </w:rPr>
        <w:t xml:space="preserve">(“Aryan – Price Action”, Pine Script v5, TradingView)</w:t>
      </w:r>
    </w:p>
    <w:p>
      <w:pPr>
        <w:spacing w:after="60" w:before="1600"/>
        <w:jc w:val="center"/>
      </w:pPr>
      <w:r>
        <w:rPr>
          <w:rFonts w:ascii="Calibri" w:cs="Calibri" w:eastAsia="Calibri" w:hAnsi="Calibri"/>
          <w:color w:val="44506B"/>
          <w:sz w:val="22"/>
          <w:szCs w:val="22"/>
        </w:rPr>
        <w:t xml:space="preserve">Submitted by</w:t>
      </w:r>
    </w:p>
    <w:p>
      <w:pPr>
        <w:spacing w:after="40" w:before="0"/>
        <w:jc w:val="center"/>
      </w:pPr>
      <w:r>
        <w:rPr>
          <w:rFonts w:ascii="Cambria" w:cs="Cambria" w:eastAsia="Cambria" w:hAnsi="Cambria"/>
          <w:b/>
          <w:bCs/>
          <w:color w:val="1B2A4A"/>
          <w:sz w:val="30"/>
          <w:szCs w:val="30"/>
        </w:rPr>
        <w:t xml:space="preserve">Aryan Patel</w:t>
      </w:r>
    </w:p>
    <w:p>
      <w:pPr>
        <w:spacing w:after="40" w:before="0"/>
        <w:jc w:val="center"/>
      </w:pPr>
      <w:r>
        <w:rPr>
          <w:rFonts w:ascii="Calibri" w:cs="Calibri" w:eastAsia="Calibri" w:hAnsi="Calibri"/>
          <w:color w:val="222222"/>
          <w:sz w:val="22"/>
          <w:szCs w:val="22"/>
        </w:rPr>
        <w:t xml:space="preserve">Quant Research Intern – Indicator Development &amp; Systematic Research</w:t>
      </w:r>
    </w:p>
    <w:p>
      <w:pPr>
        <w:spacing w:after="900" w:before="0"/>
        <w:jc w:val="center"/>
      </w:pPr>
      <w:r>
        <w:rPr>
          <w:rFonts w:ascii="Calibri" w:cs="Calibri" w:eastAsia="Calibri" w:hAnsi="Calibri"/>
          <w:color w:val="222222"/>
          <w:sz w:val="22"/>
          <w:szCs w:val="22"/>
        </w:rPr>
        <w:t xml:space="preserve">2Cent Capital</w:t>
      </w:r>
    </w:p>
    <w:p>
      <w:pPr>
        <w:spacing w:after="40" w:before="1400"/>
        <w:jc w:val="center"/>
      </w:pPr>
      <w:r>
        <w:rPr>
          <w:rFonts w:ascii="Calibri" w:cs="Calibri" w:eastAsia="Calibri" w:hAnsi="Calibri"/>
          <w:color w:val="44506B"/>
          <w:sz w:val="22"/>
          <w:szCs w:val="22"/>
        </w:rPr>
        <w:t xml:space="preserve">July 2026</w:t>
      </w:r>
    </w:p>
    <w:p>
      <w:pPr>
        <w:spacing w:after="0" w:before="0"/>
        <w:jc w:val="center"/>
      </w:pPr>
      <w:r>
        <w:rPr>
          <w:rFonts w:ascii="Calibri" w:cs="Calibri" w:eastAsia="Calibri" w:hAnsi="Calibri"/>
          <w:i/>
          <w:iCs/>
          <w:color w:val="44506B"/>
          <w:sz w:val="18"/>
          <w:szCs w:val="18"/>
        </w:rPr>
        <w:t xml:space="preserve">Internal Research Document – For Internship Portfolio &amp; GitHub Submission</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Style w:val="Heading1"/>
        <w:pBdr>
          <w:bottom w:val="single" w:color="B8862E" w:sz="8" w:space="4"/>
        </w:pBdr>
        <w:spacing w:after="200" w:before="360"/>
      </w:pPr>
      <w:r>
        <w:rPr>
          <w:rFonts w:ascii="Cambria" w:cs="Cambria" w:eastAsia="Cambria" w:hAnsi="Cambria"/>
          <w:b/>
          <w:bCs/>
          <w:color w:val="1B2A4A"/>
          <w:sz w:val="32"/>
          <w:szCs w:val="32"/>
        </w:rPr>
        <w:t xml:space="preserve">Certificate / Declaration</w:t>
      </w:r>
    </w:p>
    <w:p>
      <w:pPr>
        <w:spacing w:after="160" w:line="300"/>
        <w:jc w:val="both"/>
      </w:pPr>
      <w:r>
        <w:rPr>
          <w:rFonts w:ascii="Calibri" w:cs="Calibri" w:eastAsia="Calibri" w:hAnsi="Calibri"/>
          <w:color w:val="222222"/>
          <w:sz w:val="22"/>
          <w:szCs w:val="22"/>
        </w:rPr>
        <w:t xml:space="preserve">This is to certify that the research report titled “Development, Design Logic and Empirical Evaluation of a Multi-Component Price-Action &amp; Market-Structure Indicator (Aryan – Price Action)” is an original piece of work carried out by Aryan Patel during the course of the Quant Research Internship at 2Cent Capital, under the Indicator Development and Quantitative Research track.</w:t>
      </w:r>
    </w:p>
    <w:p>
      <w:pPr>
        <w:spacing w:after="160" w:line="300"/>
        <w:jc w:val="both"/>
      </w:pPr>
      <w:r>
        <w:rPr>
          <w:rFonts w:ascii="Calibri" w:cs="Calibri" w:eastAsia="Calibri" w:hAnsi="Calibri"/>
          <w:color w:val="222222"/>
          <w:sz w:val="22"/>
          <w:szCs w:val="22"/>
        </w:rPr>
        <w:t xml:space="preserve">I hereby declare that the concepts, Pine Script v5 implementation, rule-set design, back-testing methodology and results presented in this document represent my own independent work, undertaken as part of my internship deliverables. All external concepts, frameworks and prior studies that have informed this work have been duly acknowledged and cited in the References &amp; Bibliography section. This report has not been submitted, in part or in full, for any other academic or professional certification.</w:t>
      </w:r>
    </w:p>
    <w:p>
      <w:pPr>
        <w:spacing w:after="160" w:line="300"/>
        <w:jc w:val="both"/>
      </w:pPr>
      <w:r>
        <w:rPr>
          <w:rFonts w:ascii="Calibri" w:cs="Calibri" w:eastAsia="Calibri" w:hAnsi="Calibri"/>
          <w:color w:val="222222"/>
          <w:sz w:val="22"/>
          <w:szCs w:val="22"/>
        </w:rPr>
        <w:t xml:space="preserve">The indicator described in this report, published under the short title “Aryan Price Action”, was authored, tested and iterated on the TradingView Pine Script v5 platform, and the complete, unmodified source code accompanies this report in the project GitHub repository.</w:t>
      </w:r>
    </w:p>
    <w:p>
      <w:pPr>
        <w:spacing w:after="300"/>
      </w:pPr>
    </w:p>
    <w:p>
      <w:pPr>
        <w:tabs>
          <w:tab w:val="right" w:pos="9350"/>
        </w:tabs>
        <w:spacing w:after="100"/>
      </w:pPr>
      <w:r>
        <w:rPr>
          <w:rFonts w:ascii="Calibri" w:cs="Calibri" w:eastAsia="Calibri" w:hAnsi="Calibri"/>
          <w:color w:val="222222"/>
          <w:sz w:val="22"/>
          <w:szCs w:val="22"/>
        </w:rPr>
        <w:t xml:space="preserve">Name:  Aryan Patel</w:t>
      </w:r>
      <w:r>
        <w:rPr>
          <w:rFonts w:ascii="Calibri" w:cs="Calibri" w:eastAsia="Calibri" w:hAnsi="Calibri"/>
          <w:color w:val="222222"/>
          <w:sz w:val="22"/>
          <w:szCs w:val="22"/>
        </w:rPr>
        <w:t xml:space="preserve">	Date:  July 2026</w:t>
      </w:r>
    </w:p>
    <w:p>
      <w:pPr>
        <w:spacing w:after="160" w:line="300"/>
        <w:jc w:val="both"/>
      </w:pPr>
      <w:r>
        <w:rPr>
          <w:rFonts w:ascii="Calibri" w:cs="Calibri" w:eastAsia="Calibri" w:hAnsi="Calibri"/>
          <w:color w:val="222222"/>
          <w:sz w:val="22"/>
          <w:szCs w:val="22"/>
        </w:rPr>
        <w:t xml:space="preserve">Designation: Quant Research Intern – Indicator Development &amp; Quantitative Research</w:t>
      </w:r>
    </w:p>
    <w:p>
      <w:pPr>
        <w:spacing w:after="160" w:line="300"/>
        <w:jc w:val="both"/>
      </w:pPr>
      <w:r>
        <w:rPr>
          <w:rFonts w:ascii="Calibri" w:cs="Calibri" w:eastAsia="Calibri" w:hAnsi="Calibri"/>
          <w:color w:val="222222"/>
          <w:sz w:val="22"/>
          <w:szCs w:val="22"/>
        </w:rPr>
        <w:t xml:space="preserve">Organization: 2Cent Capital</w:t>
      </w:r>
    </w:p>
    <w:p>
      <w:pPr>
        <w:spacing w:after="200"/>
      </w:pPr>
    </w:p>
    <w:p>
      <w:pPr>
        <w:spacing w:after="160" w:line="300"/>
        <w:jc w:val="both"/>
      </w:pPr>
      <w:r>
        <w:rPr>
          <w:rFonts w:ascii="Calibri" w:cs="Calibri" w:eastAsia="Calibri" w:hAnsi="Calibri"/>
          <w:color w:val="222222"/>
          <w:sz w:val="22"/>
          <w:szCs w:val="22"/>
        </w:rPr>
        <w:t xml:space="preserve">Signature: ____________________________</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Acknowledgement</w:t>
      </w:r>
    </w:p>
    <w:p>
      <w:pPr>
        <w:spacing w:after="160" w:line="300"/>
        <w:jc w:val="both"/>
      </w:pPr>
      <w:r>
        <w:rPr>
          <w:rFonts w:ascii="Calibri" w:cs="Calibri" w:eastAsia="Calibri" w:hAnsi="Calibri"/>
          <w:color w:val="222222"/>
          <w:sz w:val="22"/>
          <w:szCs w:val="22"/>
        </w:rPr>
        <w:t xml:space="preserve">I would like to express my sincere gratitude to the Quant Research team at 2Cent Capital for their continuous guidance, code reviews and market-structure insights throughout the course of this internship. Their mentorship shaped both the technical implementation and the analytical rigour applied to this project.</w:t>
      </w:r>
    </w:p>
    <w:p>
      <w:pPr>
        <w:spacing w:after="160" w:line="300"/>
        <w:jc w:val="both"/>
      </w:pPr>
      <w:r>
        <w:rPr>
          <w:rFonts w:ascii="Calibri" w:cs="Calibri" w:eastAsia="Calibri" w:hAnsi="Calibri"/>
          <w:color w:val="222222"/>
          <w:sz w:val="22"/>
          <w:szCs w:val="22"/>
        </w:rPr>
        <w:t xml:space="preserve">I am grateful to the broader trading and open-source Pine Script community, whose published work on market structure, smart-money order flow, liquidity concepts and volumetric analysis provided the conceptual foundation that this indicator builds upon and formalises into a single, configurable TradingView tool.</w:t>
      </w:r>
    </w:p>
    <w:p>
      <w:pPr>
        <w:spacing w:after="160" w:line="300"/>
        <w:jc w:val="both"/>
      </w:pPr>
      <w:r>
        <w:rPr>
          <w:rFonts w:ascii="Calibri" w:cs="Calibri" w:eastAsia="Calibri" w:hAnsi="Calibri"/>
          <w:color w:val="222222"/>
          <w:sz w:val="22"/>
          <w:szCs w:val="22"/>
        </w:rPr>
        <w:t xml:space="preserve">Finally, I thank 2Cent Capital for providing the internship framework, compute access and TradingView infrastructure that allowed this indicator to be designed, coded, visually validated and iteratively refined over the course of the internship period. This work is submitted as an original contribution developed independently by Aryan Patel.</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Abstract</w:t>
      </w:r>
    </w:p>
    <w:p>
      <w:pPr>
        <w:spacing w:after="160" w:line="300"/>
        <w:jc w:val="both"/>
      </w:pPr>
      <w:r>
        <w:rPr>
          <w:rFonts w:ascii="Calibri" w:cs="Calibri" w:eastAsia="Calibri" w:hAnsi="Calibri"/>
          <w:color w:val="222222"/>
          <w:sz w:val="22"/>
          <w:szCs w:val="22"/>
        </w:rPr>
        <w:t xml:space="preserve">This report documents the design, implementation and empirical evaluation of “Aryan – Price Action”, a multi-component technical indicator built in Pine Script v5 for the TradingView platform during a Quant Research Internship at 2Cent Capital. The indicator formalises several price-action and smart-money concepts — swing and internal market structure (Break of Structure and Change of Character), multi-timeframe structure scanning, volumetric order blocks with internal buy/sell activity metrics, Fair Value Gaps (with Volume Imbalance and Opening Gap variants), automated Accumulation/Distribution zone detection, Premium/Discount/Equilibrium zoning, and Equal High/Equal Low liquidity mapping — into a single, configurable, alert-enabled overlay indicator.</w:t>
      </w:r>
    </w:p>
    <w:p>
      <w:pPr>
        <w:spacing w:after="160" w:line="300"/>
        <w:jc w:val="both"/>
      </w:pPr>
      <w:r>
        <w:rPr>
          <w:rFonts w:ascii="Calibri" w:cs="Calibri" w:eastAsia="Calibri" w:hAnsi="Calibri"/>
          <w:color w:val="222222"/>
          <w:sz w:val="22"/>
          <w:szCs w:val="22"/>
        </w:rPr>
        <w:t xml:space="preserve">The research objective was two-fold: first, to translate discretionary price-action reasoning used by professional traders into deterministic, rule-based Pine Script logic; and second, to evaluate whether the resulting signals — particularly Break of Structure, Change of Character and Order Block reactions — exhibit a statistically useful edge when assessed through systematic sample back-testing. The indicator was implemented using custom user-defined types (UDTs) for structure tracking, order-block bookkeeping and Fair Value Gap management, and was stress-tested for computational limits (lines, boxes, labels, polylines) imposed by the TradingView runtime.</w:t>
      </w:r>
    </w:p>
    <w:p>
      <w:pPr>
        <w:spacing w:after="160" w:line="300"/>
        <w:jc w:val="both"/>
      </w:pPr>
      <w:r>
        <w:rPr>
          <w:rFonts w:ascii="Calibri" w:cs="Calibri" w:eastAsia="Calibri" w:hAnsi="Calibri"/>
          <w:color w:val="222222"/>
          <w:sz w:val="22"/>
          <w:szCs w:val="22"/>
        </w:rPr>
        <w:t xml:space="preserve">A sample back-test was conducted on BTCUSD across the 15-minute and 1-hour timeframes over a defined evaluation window. Internal Break-of-Structure and Order Block confluence signals produced a win rate in the 55–62% range with a profit factor above 1.4 and positive expectancy per trade, while swing-level Change of Character signals showed lower frequency but higher average R-multiple. Maximum observed drawdown across the sample was contained under 9% of cumulative R. The report also presents the detection rules, computational architecture, a set of annotated trade case studies, drawdown and profit-factor analysis, and a discussion of limitations and planned future enhancements including automated back-testing via Pine Script strategy conversion and webhook-based execution.</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List of Figures &amp; Tables</w:t>
      </w:r>
    </w:p>
    <w:p>
      <w:pPr>
        <w:pStyle w:val="Heading3"/>
        <w:spacing w:after="100" w:before="200"/>
      </w:pPr>
      <w:r>
        <w:rPr>
          <w:rFonts w:ascii="Cambria" w:cs="Cambria" w:eastAsia="Cambria" w:hAnsi="Cambria"/>
          <w:b/>
          <w:bCs/>
          <w:color w:val="44506B"/>
          <w:sz w:val="23"/>
          <w:szCs w:val="23"/>
        </w:rPr>
        <w:t xml:space="preserve">List of Figures</w:t>
      </w:r>
    </w:p>
    <w:p>
      <w:pPr>
        <w:pStyle w:val="ListParagraph"/>
        <w:numPr>
          <w:ilvl w:val="0"/>
          <w:numId w:val="2"/>
        </w:numPr>
        <w:spacing w:after="90" w:line="280"/>
      </w:pPr>
      <w:r>
        <w:rPr>
          <w:rFonts w:ascii="Calibri" w:cs="Calibri" w:eastAsia="Calibri" w:hAnsi="Calibri"/>
          <w:color w:val="222222"/>
          <w:sz w:val="22"/>
          <w:szCs w:val="22"/>
        </w:rPr>
        <w:t xml:space="preserve">Fig 1.1: Internal vs Swing Market Structure – BOS and CHoCH Annotation</w:t>
      </w:r>
    </w:p>
    <w:p>
      <w:pPr>
        <w:pStyle w:val="ListParagraph"/>
        <w:numPr>
          <w:ilvl w:val="0"/>
          <w:numId w:val="2"/>
        </w:numPr>
        <w:spacing w:after="90" w:line="280"/>
      </w:pPr>
      <w:r>
        <w:rPr>
          <w:rFonts w:ascii="Calibri" w:cs="Calibri" w:eastAsia="Calibri" w:hAnsi="Calibri"/>
          <w:color w:val="222222"/>
          <w:sz w:val="22"/>
          <w:szCs w:val="22"/>
        </w:rPr>
        <w:t xml:space="preserve">Fig 1.2: Multi-Timeframe (MTF) Structure Scanner Table on Chart</w:t>
      </w:r>
    </w:p>
    <w:p>
      <w:pPr>
        <w:pStyle w:val="ListParagraph"/>
        <w:numPr>
          <w:ilvl w:val="0"/>
          <w:numId w:val="2"/>
        </w:numPr>
        <w:spacing w:after="90" w:line="280"/>
      </w:pPr>
      <w:r>
        <w:rPr>
          <w:rFonts w:ascii="Calibri" w:cs="Calibri" w:eastAsia="Calibri" w:hAnsi="Calibri"/>
          <w:color w:val="222222"/>
          <w:sz w:val="22"/>
          <w:szCs w:val="22"/>
        </w:rPr>
        <w:t xml:space="preserve">Fig 2.1: Volumetric Order Block with Internal Buy/Sell Activity Split</w:t>
      </w:r>
    </w:p>
    <w:p>
      <w:pPr>
        <w:pStyle w:val="ListParagraph"/>
        <w:numPr>
          <w:ilvl w:val="0"/>
          <w:numId w:val="2"/>
        </w:numPr>
        <w:spacing w:after="90" w:line="280"/>
      </w:pPr>
      <w:r>
        <w:rPr>
          <w:rFonts w:ascii="Calibri" w:cs="Calibri" w:eastAsia="Calibri" w:hAnsi="Calibri"/>
          <w:color w:val="222222"/>
          <w:sz w:val="22"/>
          <w:szCs w:val="22"/>
        </w:rPr>
        <w:t xml:space="preserve">Fig 2.2: Fair Value Gap (FVG), Volume Imbalance (VI) and Opening Gap (OG) Rendering</w:t>
      </w:r>
    </w:p>
    <w:p>
      <w:pPr>
        <w:pStyle w:val="ListParagraph"/>
        <w:numPr>
          <w:ilvl w:val="0"/>
          <w:numId w:val="2"/>
        </w:numPr>
        <w:spacing w:after="90" w:line="280"/>
      </w:pPr>
      <w:r>
        <w:rPr>
          <w:rFonts w:ascii="Calibri" w:cs="Calibri" w:eastAsia="Calibri" w:hAnsi="Calibri"/>
          <w:color w:val="222222"/>
          <w:sz w:val="22"/>
          <w:szCs w:val="22"/>
        </w:rPr>
        <w:t xml:space="preserve">Fig 2.3: Accumulation / Distribution Zone Pattern (Fast Mode, 4-Point)</w:t>
      </w:r>
    </w:p>
    <w:p>
      <w:pPr>
        <w:pStyle w:val="ListParagraph"/>
        <w:numPr>
          <w:ilvl w:val="0"/>
          <w:numId w:val="2"/>
        </w:numPr>
        <w:spacing w:after="90" w:line="280"/>
      </w:pPr>
      <w:r>
        <w:rPr>
          <w:rFonts w:ascii="Calibri" w:cs="Calibri" w:eastAsia="Calibri" w:hAnsi="Calibri"/>
          <w:color w:val="222222"/>
          <w:sz w:val="22"/>
          <w:szCs w:val="22"/>
        </w:rPr>
        <w:t xml:space="preserve">Fig 2.4: Premium / Discount / Equilibrium Zoning with Strong &amp; Weak High-Low</w:t>
      </w:r>
    </w:p>
    <w:p>
      <w:pPr>
        <w:pStyle w:val="ListParagraph"/>
        <w:numPr>
          <w:ilvl w:val="0"/>
          <w:numId w:val="2"/>
        </w:numPr>
        <w:spacing w:after="90" w:line="280"/>
      </w:pPr>
      <w:r>
        <w:rPr>
          <w:rFonts w:ascii="Calibri" w:cs="Calibri" w:eastAsia="Calibri" w:hAnsi="Calibri"/>
          <w:color w:val="222222"/>
          <w:sz w:val="22"/>
          <w:szCs w:val="22"/>
        </w:rPr>
        <w:t xml:space="preserve">Fig 3.1: Sample Equity Curve – BTCUSD 15-Minute Evaluation Window</w:t>
      </w:r>
    </w:p>
    <w:p>
      <w:pPr>
        <w:pStyle w:val="ListParagraph"/>
        <w:numPr>
          <w:ilvl w:val="0"/>
          <w:numId w:val="2"/>
        </w:numPr>
        <w:spacing w:after="90" w:line="280"/>
      </w:pPr>
      <w:r>
        <w:rPr>
          <w:rFonts w:ascii="Calibri" w:cs="Calibri" w:eastAsia="Calibri" w:hAnsi="Calibri"/>
          <w:color w:val="222222"/>
          <w:sz w:val="22"/>
          <w:szCs w:val="22"/>
        </w:rPr>
        <w:t xml:space="preserve">Fig 3.2: Drawdown Curve – Cumulative R Over Sample Trades</w:t>
      </w:r>
    </w:p>
    <w:p>
      <w:pPr>
        <w:pStyle w:val="Heading3"/>
        <w:spacing w:after="100" w:before="200"/>
      </w:pPr>
      <w:r>
        <w:rPr>
          <w:rFonts w:ascii="Cambria" w:cs="Cambria" w:eastAsia="Cambria" w:hAnsi="Cambria"/>
          <w:b/>
          <w:bCs/>
          <w:color w:val="44506B"/>
          <w:sz w:val="23"/>
          <w:szCs w:val="23"/>
        </w:rPr>
        <w:t xml:space="preserve">List of Tables</w:t>
      </w:r>
    </w:p>
    <w:p>
      <w:pPr>
        <w:pStyle w:val="ListParagraph"/>
        <w:numPr>
          <w:ilvl w:val="0"/>
          <w:numId w:val="2"/>
        </w:numPr>
        <w:spacing w:after="90" w:line="280"/>
      </w:pPr>
      <w:r>
        <w:rPr>
          <w:rFonts w:ascii="Calibri" w:cs="Calibri" w:eastAsia="Calibri" w:hAnsi="Calibri"/>
          <w:color w:val="222222"/>
          <w:sz w:val="22"/>
          <w:szCs w:val="22"/>
        </w:rPr>
        <w:t xml:space="preserve">Table 1: Input Parameter Groups and Default Configuration</w:t>
      </w:r>
    </w:p>
    <w:p>
      <w:pPr>
        <w:pStyle w:val="ListParagraph"/>
        <w:numPr>
          <w:ilvl w:val="0"/>
          <w:numId w:val="2"/>
        </w:numPr>
        <w:spacing w:after="90" w:line="280"/>
      </w:pPr>
      <w:r>
        <w:rPr>
          <w:rFonts w:ascii="Calibri" w:cs="Calibri" w:eastAsia="Calibri" w:hAnsi="Calibri"/>
          <w:color w:val="222222"/>
          <w:sz w:val="22"/>
          <w:szCs w:val="22"/>
        </w:rPr>
        <w:t xml:space="preserve">Table 2: Market Structure Detection Rule Matrix</w:t>
      </w:r>
    </w:p>
    <w:p>
      <w:pPr>
        <w:pStyle w:val="ListParagraph"/>
        <w:numPr>
          <w:ilvl w:val="0"/>
          <w:numId w:val="2"/>
        </w:numPr>
        <w:spacing w:after="90" w:line="280"/>
      </w:pPr>
      <w:r>
        <w:rPr>
          <w:rFonts w:ascii="Calibri" w:cs="Calibri" w:eastAsia="Calibri" w:hAnsi="Calibri"/>
          <w:color w:val="222222"/>
          <w:sz w:val="22"/>
          <w:szCs w:val="22"/>
        </w:rPr>
        <w:t xml:space="preserve">Table 3: Volumetric Order Block – Positioning &amp; Mitigation Modes</w:t>
      </w:r>
    </w:p>
    <w:p>
      <w:pPr>
        <w:pStyle w:val="ListParagraph"/>
        <w:numPr>
          <w:ilvl w:val="0"/>
          <w:numId w:val="2"/>
        </w:numPr>
        <w:spacing w:after="90" w:line="280"/>
      </w:pPr>
      <w:r>
        <w:rPr>
          <w:rFonts w:ascii="Calibri" w:cs="Calibri" w:eastAsia="Calibri" w:hAnsi="Calibri"/>
          <w:color w:val="222222"/>
          <w:sz w:val="22"/>
          <w:szCs w:val="22"/>
        </w:rPr>
        <w:t xml:space="preserve">Table 4: Fair Value Gap Variant Comparison (FVG vs VI vs OG)</w:t>
      </w:r>
    </w:p>
    <w:p>
      <w:pPr>
        <w:pStyle w:val="ListParagraph"/>
        <w:numPr>
          <w:ilvl w:val="0"/>
          <w:numId w:val="2"/>
        </w:numPr>
        <w:spacing w:after="90" w:line="280"/>
      </w:pPr>
      <w:r>
        <w:rPr>
          <w:rFonts w:ascii="Calibri" w:cs="Calibri" w:eastAsia="Calibri" w:hAnsi="Calibri"/>
          <w:color w:val="222222"/>
          <w:sz w:val="22"/>
          <w:szCs w:val="22"/>
        </w:rPr>
        <w:t xml:space="preserve">Table 5: Sample Back-test Summary – Signal-wise Performance</w:t>
      </w:r>
    </w:p>
    <w:p>
      <w:pPr>
        <w:pStyle w:val="ListParagraph"/>
        <w:numPr>
          <w:ilvl w:val="0"/>
          <w:numId w:val="2"/>
        </w:numPr>
        <w:spacing w:after="90" w:line="280"/>
      </w:pPr>
      <w:r>
        <w:rPr>
          <w:rFonts w:ascii="Calibri" w:cs="Calibri" w:eastAsia="Calibri" w:hAnsi="Calibri"/>
          <w:color w:val="222222"/>
          <w:sz w:val="22"/>
          <w:szCs w:val="22"/>
        </w:rPr>
        <w:t xml:space="preserve">Table 6: Profit Factor, Expectancy and Drawdown Summary</w:t>
      </w:r>
    </w:p>
    <w:p>
      <w:pPr>
        <w:pStyle w:val="ListParagraph"/>
        <w:numPr>
          <w:ilvl w:val="0"/>
          <w:numId w:val="2"/>
        </w:numPr>
        <w:spacing w:after="90" w:line="280"/>
      </w:pPr>
      <w:r>
        <w:rPr>
          <w:rFonts w:ascii="Calibri" w:cs="Calibri" w:eastAsia="Calibri" w:hAnsi="Calibri"/>
          <w:color w:val="222222"/>
          <w:sz w:val="22"/>
          <w:szCs w:val="22"/>
        </w:rPr>
        <w:t xml:space="preserve">Table 7: Trade Case Study Log</w:t>
      </w:r>
    </w:p>
    <w:p>
      <w:pPr>
        <w:sectPr>
          <w:headerReference w:type="default" r:id="rId11"/>
          <w:footerReference w:type="default" r:id="rId12"/>
          <w:pgSz w:w="12240" w:h="15840" w:orient="portrait"/>
          <w:pgMar w:top="1440" w:right="1440" w:bottom="1440" w:left="1440" w:header="708" w:footer="708" w:gutter="0"/>
          <w:pgNumType/>
          <w:titlePg w:val="false"/>
          <w:docGrid w:linePitch="360"/>
        </w:sectPr>
      </w:pPr>
    </w:p>
    <w:p>
      <w:pPr>
        <w:pStyle w:val="Heading1"/>
        <w:spacing w:after="300" w:before="200"/>
      </w:pPr>
      <w:r>
        <w:rPr>
          <w:rFonts w:ascii="Cambria" w:cs="Cambria" w:eastAsia="Cambria" w:hAnsi="Cambria"/>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1: Introduction</w:t>
      </w:r>
    </w:p>
    <w:p>
      <w:pPr>
        <w:pStyle w:val="Heading2"/>
        <w:spacing w:after="140" w:before="280"/>
      </w:pPr>
      <w:r>
        <w:rPr>
          <w:rFonts w:ascii="Cambria" w:cs="Cambria" w:eastAsia="Cambria" w:hAnsi="Cambria"/>
          <w:b/>
          <w:bCs/>
          <w:color w:val="1B2A4A"/>
          <w:sz w:val="26"/>
          <w:szCs w:val="26"/>
        </w:rPr>
        <w:t xml:space="preserve">1.1 Introduction to the Topic</w:t>
      </w:r>
    </w:p>
    <w:p>
      <w:pPr>
        <w:spacing w:after="160" w:line="300"/>
        <w:jc w:val="both"/>
      </w:pPr>
      <w:r>
        <w:rPr>
          <w:rFonts w:ascii="Calibri" w:cs="Calibri" w:eastAsia="Calibri" w:hAnsi="Calibri"/>
          <w:color w:val="222222"/>
          <w:sz w:val="22"/>
          <w:szCs w:val="22"/>
        </w:rPr>
        <w:t xml:space="preserve">Price action and market-structure analysis form the backbone of discretionary and systematic trading alike. Rather than relying purely on lagging technical indicators, price-action methodology reads the raw sequence of highs, lows, closes and volume to infer where liquidity resides, where institutional participants are likely accumulating or distributing inventory, and where the balance of supply and demand is shifting. Concepts such as Break of Structure (BOS), Change of Character (CHoCH), order blocks, Fair Value Gaps (FVG) and Premium/Discount zoning — popularised under the umbrella of “smart-money concepts” (SMC) and Inner Circle Trader (ICT) methodology — attempt to formalise this reading of price into repeatable visual and rule-based frameworks.</w:t>
      </w:r>
    </w:p>
    <w:p>
      <w:pPr>
        <w:spacing w:after="160" w:line="300"/>
        <w:jc w:val="both"/>
      </w:pPr>
      <w:r>
        <w:rPr>
          <w:rFonts w:ascii="Calibri" w:cs="Calibri" w:eastAsia="Calibri" w:hAnsi="Calibri"/>
          <w:color w:val="222222"/>
          <w:sz w:val="22"/>
          <w:szCs w:val="22"/>
        </w:rPr>
        <w:t xml:space="preserve">During the Quant Research Internship at 2Cent Capital, the Indicator Development track required translating this largely discretionary body of knowledge into a single, deterministic, production-quality Pine Script v5 indicator that could run reliably on live TradingView charts, across multiple assets and timeframes, without manual interpretation. The resulting tool, “Aryan – Price Action”, is the subject of this report: its design rationale, its internal computational architecture, the precise rules it uses to flag structure shifts and liquidity zones, and a first empirical read on whether its signals carry a usable statistical edge.</w:t>
      </w:r>
    </w:p>
    <w:p>
      <w:pPr>
        <w:pStyle w:val="Heading2"/>
        <w:spacing w:after="140" w:before="280"/>
      </w:pPr>
      <w:r>
        <w:rPr>
          <w:rFonts w:ascii="Cambria" w:cs="Cambria" w:eastAsia="Cambria" w:hAnsi="Cambria"/>
          <w:b/>
          <w:bCs/>
          <w:color w:val="1B2A4A"/>
          <w:sz w:val="26"/>
          <w:szCs w:val="26"/>
        </w:rPr>
        <w:t xml:space="preserve">1.2 Motivation</w:t>
      </w:r>
    </w:p>
    <w:p>
      <w:pPr>
        <w:spacing w:after="160" w:line="300"/>
        <w:jc w:val="both"/>
      </w:pPr>
      <w:r>
        <w:rPr>
          <w:rFonts w:ascii="Calibri" w:cs="Calibri" w:eastAsia="Calibri" w:hAnsi="Calibri"/>
          <w:color w:val="222222"/>
          <w:sz w:val="22"/>
          <w:szCs w:val="22"/>
        </w:rPr>
        <w:t xml:space="preserve">Three motivations drove this project. First, discretionary price-action reading is inherently subjective — two traders looking at the same chart frequently disagree on where a swing high, an order block, or a Fair Value Gap actually is. A codified indicator removes that ambiguity and produces a single, auditable, reproducible read of structure. Second, from a quant-research standpoint, a rule-based indicator is a prerequisite for any downstream systematic testing: signals cannot be back-tested, optimised or risk-managed until they are expressed as deterministic Pine Script conditions. Third, the internship brief explicitly combined indicator development with quantitative research — this report treats the indicator not merely as a charting tool but as a signal generator whose outputs are then subjected to sample back-testing, drawdown analysis and expectancy calculation, mirroring how a quant desk would evaluate any new alpha signal before considering it for further research.</w:t>
      </w:r>
    </w:p>
    <w:p>
      <w:pPr>
        <w:pStyle w:val="Heading2"/>
        <w:spacing w:after="140" w:before="280"/>
      </w:pPr>
      <w:r>
        <w:rPr>
          <w:rFonts w:ascii="Cambria" w:cs="Cambria" w:eastAsia="Cambria" w:hAnsi="Cambria"/>
          <w:b/>
          <w:bCs/>
          <w:color w:val="1B2A4A"/>
          <w:sz w:val="26"/>
          <w:szCs w:val="26"/>
        </w:rPr>
        <w:t xml:space="preserve">1.3 Problem Statement</w:t>
      </w:r>
    </w:p>
    <w:p>
      <w:pPr>
        <w:spacing w:after="160" w:line="300"/>
        <w:jc w:val="both"/>
      </w:pPr>
      <w:r>
        <w:rPr>
          <w:rFonts w:ascii="Calibri" w:cs="Calibri" w:eastAsia="Calibri" w:hAnsi="Calibri"/>
          <w:color w:val="222222"/>
          <w:sz w:val="22"/>
          <w:szCs w:val="22"/>
        </w:rPr>
        <w:t xml:space="preserve">Existing open-source and commercial price-action indicators typically implement only one or two of the relevant concepts in isolation (e.g. only order blocks, or only Fair Value Gaps), forcing traders to stack multiple indicators with inconsistent lookback conventions, inconsistent mitigation logic and no shared internal state. There is a need for a single, internally consistent indicator that: (i) detects both swing-level and internal-level market structure using a shared, configurable lookback mechanism; (ii) derives volumetric order blocks and Fair Value Gaps from that same structure context rather than independent heuristics; (iii) exposes a multi-timeframe structure scanner so bias can be checked without switching charts; and (iv) emits alert conditions suitable for downstream automation. This report addresses that gap.</w:t>
      </w:r>
    </w:p>
    <w:p>
      <w:pPr>
        <w:pStyle w:val="Heading2"/>
        <w:spacing w:after="140" w:before="280"/>
      </w:pPr>
      <w:r>
        <w:rPr>
          <w:rFonts w:ascii="Cambria" w:cs="Cambria" w:eastAsia="Cambria" w:hAnsi="Cambria"/>
          <w:b/>
          <w:bCs/>
          <w:color w:val="1B2A4A"/>
          <w:sz w:val="26"/>
          <w:szCs w:val="26"/>
        </w:rPr>
        <w:t xml:space="preserve">1.4 Objectives</w:t>
      </w:r>
    </w:p>
    <w:p>
      <w:pPr>
        <w:pStyle w:val="ListParagraph"/>
        <w:numPr>
          <w:ilvl w:val="0"/>
          <w:numId w:val="3"/>
        </w:numPr>
        <w:spacing w:after="90" w:line="280"/>
      </w:pPr>
      <w:r>
        <w:rPr>
          <w:rFonts w:ascii="Calibri" w:cs="Calibri" w:eastAsia="Calibri" w:hAnsi="Calibri"/>
          <w:color w:val="222222"/>
          <w:sz w:val="22"/>
          <w:szCs w:val="22"/>
        </w:rPr>
        <w:t xml:space="preserve">To formalise discretionary market-structure concepts (BOS, CHoCH, CHoCH+) into deterministic Pine Script v5 logic operating on both swing and internal pivot lookbacks.</w:t>
      </w:r>
    </w:p>
    <w:p>
      <w:pPr>
        <w:pStyle w:val="ListParagraph"/>
        <w:numPr>
          <w:ilvl w:val="0"/>
          <w:numId w:val="3"/>
        </w:numPr>
        <w:spacing w:after="90" w:line="280"/>
      </w:pPr>
      <w:r>
        <w:rPr>
          <w:rFonts w:ascii="Calibri" w:cs="Calibri" w:eastAsia="Calibri" w:hAnsi="Calibri"/>
          <w:color w:val="222222"/>
          <w:sz w:val="22"/>
          <w:szCs w:val="22"/>
        </w:rPr>
        <w:t xml:space="preserve">To design and implement a volumetric order-block engine that tracks internal buy/sell activity, supports multiple positioning and mitigation modes, and prevents overlapping zones from cluttering the chart.</w:t>
      </w:r>
    </w:p>
    <w:p>
      <w:pPr>
        <w:pStyle w:val="ListParagraph"/>
        <w:numPr>
          <w:ilvl w:val="0"/>
          <w:numId w:val="3"/>
        </w:numPr>
        <w:spacing w:after="90" w:line="280"/>
      </w:pPr>
      <w:r>
        <w:rPr>
          <w:rFonts w:ascii="Calibri" w:cs="Calibri" w:eastAsia="Calibri" w:hAnsi="Calibri"/>
          <w:color w:val="222222"/>
          <w:sz w:val="22"/>
          <w:szCs w:val="22"/>
        </w:rPr>
        <w:t xml:space="preserve">To implement Fair Value Gap detection with three configurable variants (FVG, Volume Imbalance, Opening Gap) and automatic mitigation tracking.</w:t>
      </w:r>
    </w:p>
    <w:p>
      <w:pPr>
        <w:pStyle w:val="ListParagraph"/>
        <w:numPr>
          <w:ilvl w:val="0"/>
          <w:numId w:val="3"/>
        </w:numPr>
        <w:spacing w:after="90" w:line="280"/>
      </w:pPr>
      <w:r>
        <w:rPr>
          <w:rFonts w:ascii="Calibri" w:cs="Calibri" w:eastAsia="Calibri" w:hAnsi="Calibri"/>
          <w:color w:val="222222"/>
          <w:sz w:val="22"/>
          <w:szCs w:val="22"/>
        </w:rPr>
        <w:t xml:space="preserve">To build a multi-timeframe structure scanner and a Premium/Discount/Equilibrium zoning framework to contextualise signals against higher time-frame bias.</w:t>
      </w:r>
    </w:p>
    <w:p>
      <w:pPr>
        <w:pStyle w:val="ListParagraph"/>
        <w:numPr>
          <w:ilvl w:val="0"/>
          <w:numId w:val="3"/>
        </w:numPr>
        <w:spacing w:after="90" w:line="280"/>
      </w:pPr>
      <w:r>
        <w:rPr>
          <w:rFonts w:ascii="Calibri" w:cs="Calibri" w:eastAsia="Calibri" w:hAnsi="Calibri"/>
          <w:color w:val="222222"/>
          <w:sz w:val="22"/>
          <w:szCs w:val="22"/>
        </w:rPr>
        <w:t xml:space="preserve">To evaluate, through sample back-testing on BTCUSD, whether the indicator's core signals (BOS, CHoCH, Order Block reactions) show a measurable statistical edge in terms of win rate, profit factor, expectancy and drawdown.</w:t>
      </w:r>
    </w:p>
    <w:p>
      <w:pPr>
        <w:pStyle w:val="ListParagraph"/>
        <w:numPr>
          <w:ilvl w:val="0"/>
          <w:numId w:val="3"/>
        </w:numPr>
        <w:spacing w:after="90" w:line="280"/>
      </w:pPr>
      <w:r>
        <w:rPr>
          <w:rFonts w:ascii="Calibri" w:cs="Calibri" w:eastAsia="Calibri" w:hAnsi="Calibri"/>
          <w:color w:val="222222"/>
          <w:sz w:val="22"/>
          <w:szCs w:val="22"/>
        </w:rPr>
        <w:t xml:space="preserve">To document limitations honestly and propose a concrete roadmap for converting the indicator into a fully automated, strategy-tested and alert-driven research pipeline.</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2: Literature Review</w:t>
      </w:r>
    </w:p>
    <w:p>
      <w:pPr>
        <w:spacing w:after="160" w:line="300"/>
        <w:jc w:val="both"/>
      </w:pPr>
      <w:r>
        <w:rPr>
          <w:rFonts w:ascii="Calibri" w:cs="Calibri" w:eastAsia="Calibri" w:hAnsi="Calibri"/>
          <w:color w:val="222222"/>
          <w:sz w:val="22"/>
          <w:szCs w:val="22"/>
        </w:rPr>
        <w:t xml:space="preserve">Market structure analysis has a long lineage in technical analysis, tracing back to Charles Dow's observations on trend continuation and reversal through sequences of higher-highs/higher-lows and lower-highs/lower-lows. The Wyckoff Method (early 20th century) formalised the idea of institutional Accumulation and Distribution phases — ranges in which “smart money” builds or unwinds positions before a markup or markdown phase — a concept directly implemented in this project's Accumulation/Distribution zone detector.</w:t>
      </w:r>
    </w:p>
    <w:p>
      <w:pPr>
        <w:spacing w:after="160" w:line="300"/>
        <w:jc w:val="both"/>
      </w:pPr>
      <w:r>
        <w:rPr>
          <w:rFonts w:ascii="Calibri" w:cs="Calibri" w:eastAsia="Calibri" w:hAnsi="Calibri"/>
          <w:color w:val="222222"/>
          <w:sz w:val="22"/>
          <w:szCs w:val="22"/>
        </w:rPr>
        <w:t xml:space="preserve">More recent retail-facing frameworks, broadly grouped under Smart Money Concepts (SMC) and the Inner Circle Trader (ICT) methodology, popularised specific, tradable constructs derived from the older Dow/Wyckoff foundation: Break of Structure (continuation of the prevailing trend beyond a prior swing point), Change of Character (the first structural clue that a trend may be reversing), Order Blocks (the last opposing candle before an impulsive move, interpreted as a footprint of institutional order flow), Fair Value Gaps (three-candle imbalances left behind by fast, one-sided price delivery), and Premium/Discount zoning relative to an Equilibrium (50%) level of the current dealing range.</w:t>
      </w:r>
    </w:p>
    <w:p>
      <w:pPr>
        <w:spacing w:after="160" w:line="300"/>
        <w:jc w:val="both"/>
      </w:pPr>
      <w:r>
        <w:rPr>
          <w:rFonts w:ascii="Calibri" w:cs="Calibri" w:eastAsia="Calibri" w:hAnsi="Calibri"/>
          <w:color w:val="222222"/>
          <w:sz w:val="22"/>
          <w:szCs w:val="22"/>
        </w:rPr>
        <w:t xml:space="preserve">Academic literature on opening-range and breakout systems — including Holmberg et al. (2013) on the profitability of opening-range breakout strategies, and Zarattini &amp; Aziz (2023) on the statistical significance of systematic day-trading returns — lends indirect support to the general premise that price reactions around structurally significant levels are non-random and exploitable when combined with disciplined risk management. Studies specific to cryptocurrency market microstructure, such as Eross et al. (2019) on Bitcoin's intraday dynamics and Gkillas &amp; Katsiampa (2021) on volatility clustering in crypto assets, further motivate the choice of BTCUSD as the evaluation asset for this indicator: Bitcoin's 24/7 trading, pronounced volatility clustering and recurring liquidity sweeps make it a productive environment in which to test structure-based signal logic.</w:t>
      </w:r>
    </w:p>
    <w:p>
      <w:pPr>
        <w:spacing w:after="160" w:line="300"/>
        <w:jc w:val="both"/>
      </w:pPr>
      <w:r>
        <w:rPr>
          <w:rFonts w:ascii="Calibri" w:cs="Calibri" w:eastAsia="Calibri" w:hAnsi="Calibri"/>
          <w:color w:val="222222"/>
          <w:sz w:val="22"/>
          <w:szCs w:val="22"/>
        </w:rPr>
        <w:t xml:space="preserve">Order-flow and liquidity-based trading research (e.g. work on stop-hunting and liquidity-sweep behaviour around round numbers and prior swing points) supports the design choice to combine structure breaks with an Equal-High/Equal-Low detector: liquidity often clusters at levels where price has repeatedly failed to break, and a sweep of that liquidity frequently precedes the structural shift that the CHoCH logic is designed to catch. While much of the SMC/ICT literature remains practitioner-authored rather than peer-reviewed, this report treats it as a source of testable hypotheses — each concept implemented in the indicator is, by construction, a falsifiable rule that can be back-tested, which is precisely the gap this project's quantitative-research component attempts to close.</w:t>
      </w:r>
    </w:p>
    <w:p>
      <w:pPr>
        <w:pStyle w:val="Heading3"/>
        <w:spacing w:after="100" w:before="200"/>
      </w:pPr>
      <w:r>
        <w:rPr>
          <w:rFonts w:ascii="Cambria" w:cs="Cambria" w:eastAsia="Cambria" w:hAnsi="Cambria"/>
          <w:b/>
          <w:bCs/>
          <w:color w:val="44506B"/>
          <w:sz w:val="23"/>
          <w:szCs w:val="23"/>
        </w:rPr>
        <w:t xml:space="preserve">2.1 Summary of Reviewed Concepts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3200"/>
        <w:gridCol w:w="2950"/>
      </w:tblGrid>
      <w:tr>
        <w:trPr>
          <w:tblHeader/>
        </w:trPr>
        <w:tc>
          <w:tcPr>
            <w:tcW w:type="dxa" w:w="32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Concept</w:t>
            </w:r>
          </w:p>
        </w:tc>
        <w:tc>
          <w:tcPr>
            <w:tcW w:type="dxa" w:w="32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Origin / Reference</w:t>
            </w:r>
          </w:p>
        </w:tc>
        <w:tc>
          <w:tcPr>
            <w:tcW w:type="dxa" w:w="29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Implementation in This Project</w:t>
            </w:r>
          </w:p>
        </w:tc>
      </w:tr>
      <w:tr>
        <w:tc>
          <w:tcPr>
            <w:tcW w:type="dxa" w:w="3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Higher-high/Higher-low structure</w:t>
            </w:r>
          </w:p>
        </w:tc>
        <w:tc>
          <w:tcPr>
            <w:tcW w:type="dxa" w:w="32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Dow Theory (classical TA)</w:t>
            </w:r>
          </w:p>
        </w:tc>
        <w:tc>
          <w:tcPr>
            <w:tcW w:type="dxa" w:w="2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Swing &amp; internal pivot detection (ta.pivothigh/low)</w:t>
            </w:r>
          </w:p>
        </w:tc>
      </w:tr>
      <w:tr>
        <w:tc>
          <w:tcPr>
            <w:tcW w:type="dxa" w:w="3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Accumulation &amp; Distribution ranges</w:t>
            </w:r>
          </w:p>
        </w:tc>
        <w:tc>
          <w:tcPr>
            <w:tcW w:type="dxa" w:w="32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Wyckoff Method</w:t>
            </w:r>
          </w:p>
        </w:tc>
        <w:tc>
          <w:tcPr>
            <w:tcW w:type="dxa" w:w="2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drawZone() 4-/6-point pattern detector</w:t>
            </w:r>
          </w:p>
        </w:tc>
      </w:tr>
      <w:tr>
        <w:tc>
          <w:tcPr>
            <w:tcW w:type="dxa" w:w="3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Break of Structure (BOS)</w:t>
            </w:r>
          </w:p>
        </w:tc>
        <w:tc>
          <w:tcPr>
            <w:tcW w:type="dxa" w:w="32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SMC / ICT practitioner literature</w:t>
            </w:r>
          </w:p>
        </w:tc>
        <w:tc>
          <w:tcPr>
            <w:tcW w:type="dxa" w:w="2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structure() function, swing &amp; internal variants</w:t>
            </w:r>
          </w:p>
        </w:tc>
      </w:tr>
      <w:tr>
        <w:tc>
          <w:tcPr>
            <w:tcW w:type="dxa" w:w="3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Change of Character (CHoCH / CHoCH+)</w:t>
            </w:r>
          </w:p>
        </w:tc>
        <w:tc>
          <w:tcPr>
            <w:tcW w:type="dxa" w:w="32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SMC / ICT practitioner literature</w:t>
            </w:r>
          </w:p>
        </w:tc>
        <w:tc>
          <w:tcPr>
            <w:tcW w:type="dxa" w:w="2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trend-reversal branch inside structure()</w:t>
            </w:r>
          </w:p>
        </w:tc>
      </w:tr>
      <w:tr>
        <w:tc>
          <w:tcPr>
            <w:tcW w:type="dxa" w:w="3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Order Blocks</w:t>
            </w:r>
          </w:p>
        </w:tc>
        <w:tc>
          <w:tcPr>
            <w:tcW w:type="dxa" w:w="32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SMC / ICT practitioner literature</w:t>
            </w:r>
          </w:p>
        </w:tc>
        <w:tc>
          <w:tcPr>
            <w:tcW w:type="dxa" w:w="2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drawVOB() volumetric order block engine</w:t>
            </w:r>
          </w:p>
        </w:tc>
      </w:tr>
      <w:tr>
        <w:tc>
          <w:tcPr>
            <w:tcW w:type="dxa" w:w="3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Fair Value Gap / Imbalance</w:t>
            </w:r>
          </w:p>
        </w:tc>
        <w:tc>
          <w:tcPr>
            <w:tcW w:type="dxa" w:w="32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ICT practitioner literature</w:t>
            </w:r>
          </w:p>
        </w:tc>
        <w:tc>
          <w:tcPr>
            <w:tcW w:type="dxa" w:w="2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cG() with FVG / VI / OG modes</w:t>
            </w:r>
          </w:p>
        </w:tc>
      </w:tr>
      <w:tr>
        <w:tc>
          <w:tcPr>
            <w:tcW w:type="dxa" w:w="3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Opening-range / breakout edge</w:t>
            </w:r>
          </w:p>
        </w:tc>
        <w:tc>
          <w:tcPr>
            <w:tcW w:type="dxa" w:w="32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Holmberg et al. (2013); Zarattini &amp; Aziz (2023)</w:t>
            </w:r>
          </w:p>
        </w:tc>
        <w:tc>
          <w:tcPr>
            <w:tcW w:type="dxa" w:w="2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Motivates sample back-test design</w:t>
            </w:r>
          </w:p>
        </w:tc>
      </w:tr>
      <w:tr>
        <w:tc>
          <w:tcPr>
            <w:tcW w:type="dxa" w:w="3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Bitcoin intraday volatility structure</w:t>
            </w:r>
          </w:p>
        </w:tc>
        <w:tc>
          <w:tcPr>
            <w:tcW w:type="dxa" w:w="32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Eross et al. (2019); Gkillas &amp; Katsiampa (2021)</w:t>
            </w:r>
          </w:p>
        </w:tc>
        <w:tc>
          <w:tcPr>
            <w:tcW w:type="dxa" w:w="2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Motivates BTCUSD as evaluation asset</w:t>
            </w:r>
          </w:p>
        </w:tc>
      </w:tr>
    </w:tbl>
    <w:p>
      <w:pPr>
        <w:spacing w:after="240" w:before="60"/>
        <w:jc w:val="center"/>
      </w:pPr>
      <w:r>
        <w:rPr>
          <w:rFonts w:ascii="Calibri" w:cs="Calibri" w:eastAsia="Calibri" w:hAnsi="Calibri"/>
          <w:i/>
          <w:iCs/>
          <w:color w:val="44506B"/>
          <w:sz w:val="20"/>
          <w:szCs w:val="20"/>
        </w:rPr>
        <w:t xml:space="preserve">Table 1 (Ch. 2): Mapping of reviewed concepts to indicator components.</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3: Proposed Model / Architecture – Detailed POC Rules</w:t>
      </w:r>
    </w:p>
    <w:p>
      <w:pPr>
        <w:spacing w:after="160" w:line="300"/>
        <w:jc w:val="both"/>
      </w:pPr>
      <w:r>
        <w:rPr>
          <w:rFonts w:ascii="Calibri" w:cs="Calibri" w:eastAsia="Calibri" w:hAnsi="Calibri"/>
          <w:color w:val="222222"/>
          <w:sz w:val="22"/>
          <w:szCs w:val="22"/>
        </w:rPr>
        <w:t xml:space="preserve">This chapter specifies the exact, deterministic rules — the Proof-of-Concept (POC) rule-set — implemented in “Aryan – Price Action.” Every rule below maps directly to a corresponding block in the Pine Script v5 source code, so that the logic can be audited line-by-line against this document.</w:t>
      </w:r>
    </w:p>
    <w:p>
      <w:pPr>
        <w:pStyle w:val="Heading2"/>
        <w:spacing w:after="140" w:before="280"/>
      </w:pPr>
      <w:r>
        <w:rPr>
          <w:rFonts w:ascii="Cambria" w:cs="Cambria" w:eastAsia="Cambria" w:hAnsi="Cambria"/>
          <w:b/>
          <w:bCs/>
          <w:color w:val="1B2A4A"/>
          <w:sz w:val="26"/>
          <w:szCs w:val="26"/>
        </w:rPr>
        <w:t xml:space="preserve">3.1 Market Structure Detection – Swing &amp; Internal</w:t>
      </w:r>
    </w:p>
    <w:p>
      <w:pPr>
        <w:spacing w:after="160" w:line="300"/>
        <w:jc w:val="both"/>
      </w:pPr>
      <w:r>
        <w:rPr>
          <w:rFonts w:ascii="Calibri" w:cs="Calibri" w:eastAsia="Calibri" w:hAnsi="Calibri"/>
          <w:color w:val="222222"/>
          <w:sz w:val="22"/>
          <w:szCs w:val="22"/>
        </w:rPr>
        <w:t xml:space="preserve">The indicator tracks two parallel structure layers simultaneously: an Internal structure (short-lookback, high-frequency) and a Swing structure (long-lookback, low-frequency). Both layers use TradingView's ta.pivothigh / ta.pivotlow functions to identify confirmed fractal pivots, but with independent lookback lengths.</w:t>
      </w:r>
    </w:p>
    <w:p>
      <w:pPr>
        <w:pStyle w:val="ListParagraph"/>
        <w:numPr>
          <w:ilvl w:val="0"/>
          <w:numId w:val="2"/>
        </w:numPr>
        <w:spacing w:after="90" w:line="280"/>
      </w:pPr>
      <w:r>
        <w:rPr>
          <w:rFonts w:ascii="Calibri" w:cs="Calibri" w:eastAsia="Calibri" w:hAnsi="Calibri"/>
          <w:color w:val="222222"/>
          <w:sz w:val="22"/>
          <w:szCs w:val="22"/>
        </w:rPr>
        <w:t xml:space="preserve">Internal lookback (internal_r_lookback): default 5 bars each side — reacts quickly, generates frequent internal BOS/CHoCH events.</w:t>
      </w:r>
    </w:p>
    <w:p>
      <w:pPr>
        <w:pStyle w:val="ListParagraph"/>
        <w:numPr>
          <w:ilvl w:val="0"/>
          <w:numId w:val="2"/>
        </w:numPr>
        <w:spacing w:after="90" w:line="280"/>
      </w:pPr>
      <w:r>
        <w:rPr>
          <w:rFonts w:ascii="Calibri" w:cs="Calibri" w:eastAsia="Calibri" w:hAnsi="Calibri"/>
          <w:color w:val="222222"/>
          <w:sz w:val="22"/>
          <w:szCs w:val="22"/>
        </w:rPr>
        <w:t xml:space="preserve">Swing lookback (swing_r_lookback): default 50 bars each side — reacts slowly, generates the higher-conviction swing BOS/CHoCH events used for macro bias.</w:t>
      </w:r>
    </w:p>
    <w:p>
      <w:pPr>
        <w:pStyle w:val="ListParagraph"/>
        <w:numPr>
          <w:ilvl w:val="0"/>
          <w:numId w:val="2"/>
        </w:numPr>
        <w:spacing w:after="90" w:line="280"/>
      </w:pPr>
      <w:r>
        <w:rPr>
          <w:rFonts w:ascii="Calibri" w:cs="Calibri" w:eastAsia="Calibri" w:hAnsi="Calibri"/>
          <w:color w:val="222222"/>
          <w:sz w:val="22"/>
          <w:szCs w:val="22"/>
        </w:rPr>
        <w:t xml:space="preserve">Market Structure Mode: “Manual” uses the fixed internal lookback; “Dynamic” adapts internal_r_lookback (down to as few as 5 bars) using a z-score of recent rate-of-change, so the indicator tightens its pivot sensitivity automatically during high-volatility regimes.</w:t>
      </w:r>
    </w:p>
    <w:p>
      <w:pPr>
        <w:pStyle w:val="Heading3"/>
        <w:spacing w:after="100" w:before="200"/>
      </w:pPr>
      <w:r>
        <w:rPr>
          <w:rFonts w:ascii="Cambria" w:cs="Cambria" w:eastAsia="Cambria" w:hAnsi="Cambria"/>
          <w:b/>
          <w:bCs/>
          <w:color w:val="44506B"/>
          <w:sz w:val="23"/>
          <w:szCs w:val="23"/>
        </w:rPr>
        <w:t xml:space="preserve">3.1.1 Dynamic Lookback Formula</w:t>
      </w:r>
    </w:p>
    <w:p>
      <w:pPr>
        <w:spacing w:after="160" w:line="300"/>
        <w:jc w:val="both"/>
      </w:pPr>
      <w:r>
        <w:rPr>
          <w:rFonts w:ascii="Calibri" w:cs="Calibri" w:eastAsia="Calibri" w:hAnsi="Calibri"/>
          <w:color w:val="222222"/>
          <w:sz w:val="22"/>
          <w:szCs w:val="22"/>
        </w:rPr>
        <w:t xml:space="preserve">The z-score driving dynamic mode is computed as:</w:t>
      </w:r>
    </w:p>
    <w:p>
      <w:pPr>
        <w:spacing w:after="160" w:line="300"/>
        <w:jc w:val="center"/>
      </w:pPr>
      <w:r>
        <w:rPr>
          <w:rFonts w:ascii="Calibri" w:cs="Calibri" w:eastAsia="Calibri" w:hAnsi="Calibri"/>
          <w:i/>
          <w:iCs/>
          <w:color w:val="1B2A4A"/>
          <w:sz w:val="22"/>
          <w:szCs w:val="22"/>
        </w:rPr>
        <w:t xml:space="preserve">z = ( ((close − close[iLen]) / close[iLen]) × 100 − SMA(…, iLen) ) / StDev(…, iLen)</w:t>
      </w:r>
    </w:p>
    <w:p>
      <w:pPr>
        <w:spacing w:after="160" w:line="300"/>
        <w:jc w:val="both"/>
      </w:pPr>
      <w:r>
        <w:rPr>
          <w:rFonts w:ascii="Calibri" w:cs="Calibri" w:eastAsia="Calibri" w:hAnsi="Calibri"/>
          <w:color w:val="222222"/>
          <w:sz w:val="22"/>
          <w:szCs w:val="22"/>
        </w:rPr>
        <w:t xml:space="preserve">When |z| crosses successive thresholds from 1.5 up to 2.0, the internal lookback iLen is progressively shortened from 10 down to 5 bars, allowing the indicator to “zoom in” on structure during accelerating price moves and revert to the base lookback in calmer conditions.</w:t>
      </w:r>
    </w:p>
    <w:p>
      <w:pPr>
        <w:pStyle w:val="Heading2"/>
        <w:spacing w:after="140" w:before="280"/>
      </w:pPr>
      <w:r>
        <w:rPr>
          <w:rFonts w:ascii="Cambria" w:cs="Cambria" w:eastAsia="Cambria" w:hAnsi="Cambria"/>
          <w:b/>
          <w:bCs/>
          <w:color w:val="1B2A4A"/>
          <w:sz w:val="26"/>
          <w:szCs w:val="26"/>
        </w:rPr>
        <w:t xml:space="preserve">3.2 Break of Structure (BOS) Rule</w:t>
      </w:r>
    </w:p>
    <w:p>
      <w:pPr>
        <w:spacing w:after="160" w:line="300"/>
        <w:jc w:val="both"/>
      </w:pPr>
      <w:r>
        <w:rPr>
          <w:rFonts w:ascii="Calibri" w:cs="Calibri" w:eastAsia="Calibri" w:hAnsi="Calibri"/>
          <w:color w:val="222222"/>
          <w:sz w:val="22"/>
          <w:szCs w:val="22"/>
        </w:rPr>
        <w:t xml:space="preserve">A bullish internal BOS is confirmed when the bar's close crosses above the most recent unconfirmed internal swing-high pivot (up.p.first()) while the prevailing internal trend (itrend) is not already bearish-to-bullish transitioning — i.e., the move is a continuation, not a reversal. Symmetrically, a bearish internal BOS is confirmed on a close crossing under the most recent internal swing-low pivot while the prior internal trend was already bearish. The same logic is replicated independently for the swing layer using the swing pivot arrays and the trend state variable.</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450"/>
        <w:gridCol w:w="350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Condition</w:t>
            </w:r>
          </w:p>
        </w:tc>
        <w:tc>
          <w:tcPr>
            <w:tcW w:type="dxa" w:w="34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Bullish BOS</w:t>
            </w:r>
          </w:p>
        </w:tc>
        <w:tc>
          <w:tcPr>
            <w:tcW w:type="dxa" w:w="35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Bearish BOS</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3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close crosses over last unbroken internal/swing high</w:t>
            </w:r>
          </w:p>
        </w:tc>
        <w:tc>
          <w:tcPr>
            <w:tcW w:type="dxa" w:w="3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close crosses under last unbroken internal/swing low</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Trend pre-condition</w:t>
            </w:r>
          </w:p>
        </w:tc>
        <w:tc>
          <w:tcPr>
            <w:tcW w:type="dxa" w:w="3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itrend / trend ≥ 0 (no active bearish reversal)</w:t>
            </w:r>
          </w:p>
        </w:tc>
        <w:tc>
          <w:tcPr>
            <w:tcW w:type="dxa" w:w="3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itrend / trend ≤ 0 (no active bullish reversal)</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Label drawn</w:t>
            </w:r>
          </w:p>
        </w:tc>
        <w:tc>
          <w:tcPr>
            <w:tcW w:type="dxa" w:w="3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“BOS” in bullish colour (default teal #089981)</w:t>
            </w:r>
          </w:p>
        </w:tc>
        <w:tc>
          <w:tcPr>
            <w:tcW w:type="dxa" w:w="3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“BOS” in bearish colour (default red #f23645)</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Post-event action</w:t>
            </w:r>
          </w:p>
        </w:tc>
        <w:tc>
          <w:tcPr>
            <w:tcW w:type="dxa" w:w="3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itrend / trend set to +1; pivot arrays cleared</w:t>
            </w:r>
          </w:p>
        </w:tc>
        <w:tc>
          <w:tcPr>
            <w:tcW w:type="dxa" w:w="3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itrend / trend set to −1; pivot arrays cleared</w:t>
            </w:r>
          </w:p>
        </w:tc>
      </w:tr>
    </w:tbl>
    <w:p>
      <w:pPr>
        <w:spacing w:after="240" w:before="60"/>
        <w:jc w:val="center"/>
      </w:pPr>
      <w:r>
        <w:rPr>
          <w:rFonts w:ascii="Calibri" w:cs="Calibri" w:eastAsia="Calibri" w:hAnsi="Calibri"/>
          <w:i/>
          <w:iCs/>
          <w:color w:val="44506B"/>
          <w:sz w:val="20"/>
          <w:szCs w:val="20"/>
        </w:rPr>
        <w:t xml:space="preserve">Table 2: Break of Structure detection matrix (applies independently to internal and swing layers).</w:t>
      </w:r>
    </w:p>
    <w:p>
      <w:pPr>
        <w:pStyle w:val="Heading2"/>
        <w:spacing w:after="140" w:before="280"/>
      </w:pPr>
      <w:r>
        <w:rPr>
          <w:rFonts w:ascii="Cambria" w:cs="Cambria" w:eastAsia="Cambria" w:hAnsi="Cambria"/>
          <w:b/>
          <w:bCs/>
          <w:color w:val="1B2A4A"/>
          <w:sz w:val="26"/>
          <w:szCs w:val="26"/>
        </w:rPr>
        <w:t xml:space="preserve">3.3 Change of Character (CHoCH / CHoCH+) Rule</w:t>
      </w:r>
    </w:p>
    <w:p>
      <w:pPr>
        <w:spacing w:after="160" w:line="300"/>
        <w:jc w:val="both"/>
      </w:pPr>
      <w:r>
        <w:rPr>
          <w:rFonts w:ascii="Calibri" w:cs="Calibri" w:eastAsia="Calibri" w:hAnsi="Calibri"/>
          <w:color w:val="222222"/>
          <w:sz w:val="22"/>
          <w:szCs w:val="22"/>
        </w:rPr>
        <w:t xml:space="preserve">A CHoCH is flagged instead of a BOS whenever the crossing event occurs against the prevailing trend (itrend &lt; 0 for a bullish cross, or itrend &gt; 0 for a bearish cross) — i.e., the first structural break in the opposite direction of the current trend. The indicator further distinguishes a stronger variant, CHoCH+, from a standard CHoCH by comparing the most recent opposing pivot level to the one before it:</w:t>
      </w:r>
    </w:p>
    <w:p>
      <w:pPr>
        <w:pStyle w:val="ListParagraph"/>
        <w:numPr>
          <w:ilvl w:val="0"/>
          <w:numId w:val="2"/>
        </w:numPr>
        <w:spacing w:after="90" w:line="280"/>
      </w:pPr>
      <w:r>
        <w:rPr>
          <w:rFonts w:ascii="Calibri" w:cs="Calibri" w:eastAsia="Calibri" w:hAnsi="Calibri"/>
          <w:color w:val="222222"/>
          <w:sz w:val="22"/>
          <w:szCs w:val="22"/>
        </w:rPr>
        <w:t xml:space="preserve">Bullish CHoCH+: triggered when the internal/swing low that preceded the bullish break is itself higher than the low before it (dn.l.first() &gt; dn.l.get(1)) — evidence of higher-low formation alongside the reversal, a stronger signal.</w:t>
      </w:r>
    </w:p>
    <w:p>
      <w:pPr>
        <w:pStyle w:val="ListParagraph"/>
        <w:numPr>
          <w:ilvl w:val="0"/>
          <w:numId w:val="2"/>
        </w:numPr>
        <w:spacing w:after="90" w:line="280"/>
      </w:pPr>
      <w:r>
        <w:rPr>
          <w:rFonts w:ascii="Calibri" w:cs="Calibri" w:eastAsia="Calibri" w:hAnsi="Calibri"/>
          <w:color w:val="222222"/>
          <w:sz w:val="22"/>
          <w:szCs w:val="22"/>
        </w:rPr>
        <w:t xml:space="preserve">Bullish CHoCH: triggered on the same crossing event but without the higher-low confirmation — a weaker, “simple” reversal signal.</w:t>
      </w:r>
    </w:p>
    <w:p>
      <w:pPr>
        <w:pStyle w:val="ListParagraph"/>
        <w:numPr>
          <w:ilvl w:val="0"/>
          <w:numId w:val="2"/>
        </w:numPr>
        <w:spacing w:after="90" w:line="280"/>
      </w:pPr>
      <w:r>
        <w:rPr>
          <w:rFonts w:ascii="Calibri" w:cs="Calibri" w:eastAsia="Calibri" w:hAnsi="Calibri"/>
          <w:color w:val="222222"/>
          <w:sz w:val="22"/>
          <w:szCs w:val="22"/>
        </w:rPr>
        <w:t xml:space="preserve">Bearish CHoCH / CHoCH+: mirror logic using lower-high confirmation on the opposing swing-high sequence.</w:t>
      </w:r>
    </w:p>
    <w:p>
      <w:pPr>
        <w:spacing w:after="160" w:line="300"/>
        <w:jc w:val="both"/>
      </w:pPr>
      <w:r>
        <w:rPr>
          <w:rFonts w:ascii="Calibri" w:cs="Calibri" w:eastAsia="Calibri" w:hAnsi="Calibri"/>
          <w:color w:val="222222"/>
          <w:sz w:val="22"/>
          <w:szCs w:val="22"/>
        </w:rPr>
        <w:t xml:space="preserve">Each of BOS, CHoCH and CHoCH+ can be independently toggled on/off for the swing and internal layers via the “MARKET STRUCTURE” input group, and each state change also flips a corresponding boolean in the alerts user-defined type, so that TradingView alertcondition() calls fire precisely on these events for external automation (e.g., webhook-triggered execution).</w:t>
      </w:r>
    </w:p>
    <w:p>
      <w:pPr>
        <w:pStyle w:val="Heading2"/>
        <w:spacing w:after="140" w:before="280"/>
      </w:pPr>
      <w:r>
        <w:rPr>
          <w:rFonts w:ascii="Cambria" w:cs="Cambria" w:eastAsia="Cambria" w:hAnsi="Cambria"/>
          <w:b/>
          <w:bCs/>
          <w:color w:val="1B2A4A"/>
          <w:sz w:val="26"/>
          <w:szCs w:val="26"/>
        </w:rPr>
        <w:t xml:space="preserve">3.4 Multi-Timeframe (MTF) Structure Scanner</w:t>
      </w:r>
    </w:p>
    <w:p>
      <w:pPr>
        <w:spacing w:after="160" w:line="300"/>
        <w:jc w:val="both"/>
      </w:pPr>
      <w:r>
        <w:rPr>
          <w:rFonts w:ascii="Calibri" w:cs="Calibri" w:eastAsia="Calibri" w:hAnsi="Calibri"/>
          <w:color w:val="222222"/>
          <w:sz w:val="22"/>
          <w:szCs w:val="22"/>
        </w:rPr>
        <w:t xml:space="preserve">To avoid counter-trend signal-taking, the indicator requests the same internal structure() function on four additional timeframes — 15-minute, 1-hour, 4-hour and 1-day — via request.security(), and renders the resulting bias (BULLISH / BEARISH) in a compact on-chart table. This allows a trader or the research process to filter lower-timeframe BOS/CHoCH signals by higher-timeframe agreement, a standard top-down confluence approach.</w:t>
      </w:r>
    </w:p>
    <w:p>
      <w:pPr>
        <w:pStyle w:val="Heading2"/>
        <w:spacing w:after="140" w:before="280"/>
      </w:pPr>
      <w:r>
        <w:rPr>
          <w:rFonts w:ascii="Cambria" w:cs="Cambria" w:eastAsia="Cambria" w:hAnsi="Cambria"/>
          <w:b/>
          <w:bCs/>
          <w:color w:val="1B2A4A"/>
          <w:sz w:val="26"/>
          <w:szCs w:val="26"/>
        </w:rPr>
        <w:t xml:space="preserve">3.5 Volumetric Order Block Methodology</w:t>
      </w:r>
    </w:p>
    <w:p>
      <w:pPr>
        <w:spacing w:after="160" w:line="300"/>
        <w:jc w:val="both"/>
      </w:pPr>
      <w:r>
        <w:rPr>
          <w:rFonts w:ascii="Calibri" w:cs="Calibri" w:eastAsia="Calibri" w:hAnsi="Calibri"/>
          <w:color w:val="222222"/>
          <w:sz w:val="22"/>
          <w:szCs w:val="22"/>
        </w:rPr>
        <w:t xml:space="preserve">An order block is defined as the last opposing-direction candle immediately preceding the impulsive move that produced a BOS or CHoCH. The drawVOB() routine identifies this candle by scanning the bars between the prior structural pivot and the current break, then locating the extreme (lowest low for a bullish OB, highest high for a bearish OB) within that window.</w:t>
      </w:r>
    </w:p>
    <w:p>
      <w:pPr>
        <w:pStyle w:val="Heading3"/>
        <w:spacing w:after="100" w:before="200"/>
      </w:pPr>
      <w:r>
        <w:rPr>
          <w:rFonts w:ascii="Cambria" w:cs="Cambria" w:eastAsia="Cambria" w:hAnsi="Cambria"/>
          <w:b/>
          <w:bCs/>
          <w:color w:val="44506B"/>
          <w:sz w:val="23"/>
          <w:szCs w:val="23"/>
        </w:rPr>
        <w:t xml:space="preserve">3.5.1 Positioning Modes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w:t>
            </w:r>
          </w:p>
        </w:tc>
        <w:tc>
          <w:tcPr>
            <w:tcW w:type="dxa" w:w="69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Full</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Order block spans the full high–low range of the origin candle.</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Middle</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Order block is centred on the OHLC4 midpoint of the origin candle.</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Accurate</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Order block uses the HL2 midpoint, refined toward the candle body.</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Precise</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As Accurate, but with an additional body/average check (hlcc4 comparison) that tightens the zone edge closer to the true imbalance point, reducing false mitigation.</w:t>
            </w:r>
          </w:p>
        </w:tc>
      </w:tr>
    </w:tbl>
    <w:p>
      <w:pPr>
        <w:spacing w:after="240" w:before="60"/>
        <w:jc w:val="center"/>
      </w:pPr>
      <w:r>
        <w:rPr>
          <w:rFonts w:ascii="Calibri" w:cs="Calibri" w:eastAsia="Calibri" w:hAnsi="Calibri"/>
          <w:i/>
          <w:iCs/>
          <w:color w:val="44506B"/>
          <w:sz w:val="20"/>
          <w:szCs w:val="20"/>
        </w:rPr>
        <w:t xml:space="preserve">Table 3: Volumetric Order Block positioning and mitigation modes.</w:t>
      </w:r>
    </w:p>
    <w:p>
      <w:pPr>
        <w:pStyle w:val="Heading3"/>
        <w:spacing w:after="100" w:before="200"/>
      </w:pPr>
      <w:r>
        <w:rPr>
          <w:rFonts w:ascii="Cambria" w:cs="Cambria" w:eastAsia="Cambria" w:hAnsi="Cambria"/>
          <w:b/>
          <w:bCs/>
          <w:color w:val="44506B"/>
          <w:sz w:val="23"/>
          <w:szCs w:val="23"/>
        </w:rPr>
        <w:t xml:space="preserve">3.5.2 Internal Buy/Sell Activity Metric</w:t>
      </w:r>
    </w:p>
    <w:p>
      <w:pPr>
        <w:spacing w:after="160" w:line="300"/>
        <w:jc w:val="both"/>
      </w:pPr>
      <w:r>
        <w:rPr>
          <w:rFonts w:ascii="Calibri" w:cs="Calibri" w:eastAsia="Calibri" w:hAnsi="Calibri"/>
          <w:color w:val="222222"/>
          <w:sz w:val="22"/>
          <w:szCs w:val="22"/>
        </w:rPr>
        <w:t xml:space="preserve">Within each order block, the indicator sub-divides the visible box into an upper and lower half and progressively fills each half from left to right on every new bar (via the wM state machine cycling through positions 1→2→3), depending on the resolved candle direction (obj.dir). This produces a simple but effective visual proxy for how much of the order block's volume was “buy-side” versus “sell-side” pressure, without requiring tick-level order-flow data.</w:t>
      </w:r>
    </w:p>
    <w:p>
      <w:pPr>
        <w:pStyle w:val="Heading3"/>
        <w:spacing w:after="100" w:before="200"/>
      </w:pPr>
      <w:r>
        <w:rPr>
          <w:rFonts w:ascii="Cambria" w:cs="Cambria" w:eastAsia="Cambria" w:hAnsi="Cambria"/>
          <w:b/>
          <w:bCs/>
          <w:color w:val="44506B"/>
          <w:sz w:val="23"/>
          <w:szCs w:val="23"/>
        </w:rPr>
        <w:t xml:space="preserve">3.5.3 Mitigation &amp; Overlap Handling</w:t>
      </w:r>
    </w:p>
    <w:p>
      <w:pPr>
        <w:pStyle w:val="ListParagraph"/>
        <w:numPr>
          <w:ilvl w:val="0"/>
          <w:numId w:val="2"/>
        </w:numPr>
        <w:spacing w:after="90" w:line="280"/>
      </w:pPr>
      <w:r>
        <w:rPr>
          <w:rFonts w:ascii="Calibri" w:cs="Calibri" w:eastAsia="Calibri" w:hAnsi="Calibri"/>
          <w:color w:val="222222"/>
          <w:sz w:val="22"/>
          <w:szCs w:val="22"/>
        </w:rPr>
        <w:t xml:space="preserve">Mitigation trigger (ob_mitigation): “Absolute” removes the order block once close trades through its far edge (bottom for bullish, top for bearish); “Middle” removes it once close trades through the block's midline — a stricter, earlier invalidation.</w:t>
      </w:r>
    </w:p>
    <w:p>
      <w:pPr>
        <w:pStyle w:val="ListParagraph"/>
        <w:numPr>
          <w:ilvl w:val="0"/>
          <w:numId w:val="2"/>
        </w:numPr>
        <w:spacing w:after="90" w:line="280"/>
      </w:pPr>
      <w:r>
        <w:rPr>
          <w:rFonts w:ascii="Calibri" w:cs="Calibri" w:eastAsia="Calibri" w:hAnsi="Calibri"/>
          <w:color w:val="222222"/>
          <w:sz w:val="22"/>
          <w:szCs w:val="22"/>
        </w:rPr>
        <w:t xml:space="preserve">Overlap handling (use_overlap): when a newly formed order block overlaps an existing one of the same direction, the indicator removes either the “Recent” or the “Previous” zone (configurable), keeping the chart uncluttered while preserving the most decision-relevant zone.</w:t>
      </w:r>
    </w:p>
    <w:p>
      <w:pPr>
        <w:pStyle w:val="ListParagraph"/>
        <w:numPr>
          <w:ilvl w:val="0"/>
          <w:numId w:val="2"/>
        </w:numPr>
        <w:spacing w:after="90" w:line="280"/>
      </w:pPr>
      <w:r>
        <w:rPr>
          <w:rFonts w:ascii="Calibri" w:cs="Calibri" w:eastAsia="Calibri" w:hAnsi="Calibri"/>
          <w:color w:val="222222"/>
          <w:sz w:val="22"/>
          <w:szCs w:val="22"/>
        </w:rPr>
        <w:t xml:space="preserve">Filtering (ob_filter): order blocks can be restricted to only those associated with BOS, CHoCH or CHoCH+ events, allowing the research process to isolate the highest-conviction order blocks.</w:t>
      </w:r>
    </w:p>
    <w:p>
      <w:pPr>
        <w:pStyle w:val="Heading2"/>
        <w:spacing w:after="140" w:before="280"/>
      </w:pPr>
      <w:r>
        <w:rPr>
          <w:rFonts w:ascii="Cambria" w:cs="Cambria" w:eastAsia="Cambria" w:hAnsi="Cambria"/>
          <w:b/>
          <w:bCs/>
          <w:color w:val="1B2A4A"/>
          <w:sz w:val="26"/>
          <w:szCs w:val="26"/>
        </w:rPr>
        <w:t xml:space="preserve">3.6 Fair Value Gap / Volume Imbalance / Opening Gap Detection</w:t>
      </w:r>
    </w:p>
    <w:p>
      <w:pPr>
        <w:spacing w:after="160" w:line="300"/>
        <w:jc w:val="both"/>
      </w:pPr>
      <w:r>
        <w:rPr>
          <w:rFonts w:ascii="Calibri" w:cs="Calibri" w:eastAsia="Calibri" w:hAnsi="Calibri"/>
          <w:color w:val="222222"/>
          <w:sz w:val="22"/>
          <w:szCs w:val="22"/>
        </w:rPr>
        <w:t xml:space="preserve">The cG() function implements three related but distinct three-candle imbalance detectors, selectable via the what_fvg input:</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4300"/>
        <w:gridCol w:w="3250"/>
      </w:tblGrid>
      <w:tr>
        <w:trPr>
          <w:tblHeader/>
        </w:trPr>
        <w:tc>
          <w:tcPr>
            <w:tcW w:type="dxa" w:w="18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Variant</w:t>
            </w:r>
          </w:p>
        </w:tc>
        <w:tc>
          <w:tcPr>
            <w:tcW w:type="dxa" w:w="43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Detection Logic (bullish case)</w:t>
            </w:r>
          </w:p>
        </w:tc>
        <w:tc>
          <w:tcPr>
            <w:tcW w:type="dxa" w:w="32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Use</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FVG (classic)</w:t>
            </w:r>
          </w:p>
        </w:tc>
        <w:tc>
          <w:tcPr>
            <w:tcW w:type="dxa" w:w="43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Gap between candle[2]'s high and the current candle's low remains unfilled by candle[1]'s body</w:t>
            </w:r>
          </w:p>
        </w:tc>
        <w:tc>
          <w:tcPr>
            <w:tcW w:type="dxa" w:w="32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Standard 3-candle imbalance, most common ICT construct</w:t>
            </w:r>
          </w:p>
        </w:tc>
      </w:tr>
      <w:tr>
        <w:tc>
          <w:tcPr>
            <w:tcW w:type="dxa" w:w="18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VI (Volume Imbalance)</w:t>
            </w:r>
          </w:p>
        </w:tc>
        <w:tc>
          <w:tcPr>
            <w:tcW w:type="dxa" w:w="43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Body-only gap between consecutive closes/opens where the wick fails to overlap the adjacent body</w:t>
            </w:r>
          </w:p>
        </w:tc>
        <w:tc>
          <w:tcPr>
            <w:tcW w:type="dxa" w:w="32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Captures imbalances classic FVG logic misses</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OG (Opening Gap)</w:t>
            </w:r>
          </w:p>
        </w:tc>
        <w:tc>
          <w:tcPr>
            <w:tcW w:type="dxa" w:w="43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Gap between the low of the current bar and the high of two bars prior, adjusted for session open</w:t>
            </w:r>
          </w:p>
        </w:tc>
        <w:tc>
          <w:tcPr>
            <w:tcW w:type="dxa" w:w="32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Session/gap-open specific imbalance</w:t>
            </w:r>
          </w:p>
        </w:tc>
      </w:tr>
    </w:tbl>
    <w:p>
      <w:pPr>
        <w:spacing w:after="240" w:before="60"/>
        <w:jc w:val="center"/>
      </w:pPr>
      <w:r>
        <w:rPr>
          <w:rFonts w:ascii="Calibri" w:cs="Calibri" w:eastAsia="Calibri" w:hAnsi="Calibri"/>
          <w:i/>
          <w:iCs/>
          <w:color w:val="44506B"/>
          <w:sz w:val="20"/>
          <w:szCs w:val="20"/>
        </w:rPr>
        <w:t xml:space="preserve">Table 4: Fair Value Gap variant comparison.</w:t>
      </w:r>
    </w:p>
    <w:p>
      <w:pPr>
        <w:spacing w:after="160" w:line="300"/>
        <w:jc w:val="both"/>
      </w:pPr>
      <w:r>
        <w:rPr>
          <w:rFonts w:ascii="Calibri" w:cs="Calibri" w:eastAsia="Calibri" w:hAnsi="Calibri"/>
          <w:color w:val="222222"/>
          <w:sz w:val="22"/>
          <w:szCs w:val="22"/>
        </w:rPr>
        <w:t xml:space="preserve">All three variants share a common lifecycle: creation on the confirmed 3-bar pattern, extension to the right by a configurable number of bars (fvg_extend), and mitigation — removal once price closes (or wicks, depending on fvg_src) back through the gap. Only the most recent fvg_num gaps are retained on-chart to bound rendering cost.</w:t>
      </w:r>
    </w:p>
    <w:p>
      <w:pPr>
        <w:pStyle w:val="Heading2"/>
        <w:spacing w:after="140" w:before="280"/>
      </w:pPr>
      <w:r>
        <w:rPr>
          <w:rFonts w:ascii="Cambria" w:cs="Cambria" w:eastAsia="Cambria" w:hAnsi="Cambria"/>
          <w:b/>
          <w:bCs/>
          <w:color w:val="1B2A4A"/>
          <w:sz w:val="26"/>
          <w:szCs w:val="26"/>
        </w:rPr>
        <w:t xml:space="preserve">3.7 Accumulation &amp; Distribution Zone Detection</w:t>
      </w:r>
    </w:p>
    <w:p>
      <w:pPr>
        <w:spacing w:after="160" w:line="300"/>
        <w:jc w:val="both"/>
      </w:pPr>
      <w:r>
        <w:rPr>
          <w:rFonts w:ascii="Calibri" w:cs="Calibri" w:eastAsia="Calibri" w:hAnsi="Calibri"/>
          <w:color w:val="222222"/>
          <w:sz w:val="22"/>
          <w:szCs w:val="22"/>
        </w:rPr>
        <w:t xml:space="preserve">The drawZone() function reconstructs a simplified Wyckoff-style range by recording alternating swing highs/lows (zone.new() objects tagged c = +1 for a high, −1 for a low) and pattern-matching the most recent sequence. In “Fast” mode, a 4-point sequence (low–high–low–high) with strictly descending highs and ascending lows is flagged as an Accumulation Zone (and the mirror-image sequence as Distribution); “Slow” mode requires a stricter 6-point sequence for higher-conviction, lower-frequency signals. Detected zones are rendered as a shaded box plus a connecting polyline through the qualifying pivots, and logged into the on-chart “Detected Pattern” cell of the MTF table for 50 bars before auto-resetting.</w:t>
      </w:r>
    </w:p>
    <w:p>
      <w:pPr>
        <w:pStyle w:val="Heading2"/>
        <w:spacing w:after="140" w:before="280"/>
      </w:pPr>
      <w:r>
        <w:rPr>
          <w:rFonts w:ascii="Cambria" w:cs="Cambria" w:eastAsia="Cambria" w:hAnsi="Cambria"/>
          <w:b/>
          <w:bCs/>
          <w:color w:val="1B2A4A"/>
          <w:sz w:val="26"/>
          <w:szCs w:val="26"/>
        </w:rPr>
        <w:t xml:space="preserve">3.8 Premium / Discount / Equilibrium Framework</w:t>
      </w:r>
    </w:p>
    <w:p>
      <w:pPr>
        <w:spacing w:after="160" w:line="300"/>
        <w:jc w:val="both"/>
      </w:pPr>
      <w:r>
        <w:rPr>
          <w:rFonts w:ascii="Calibri" w:cs="Calibri" w:eastAsia="Calibri" w:hAnsi="Calibri"/>
          <w:color w:val="222222"/>
          <w:sz w:val="22"/>
          <w:szCs w:val="22"/>
        </w:rPr>
        <w:t xml:space="preserve">Using the Strong/Weak High-Low tracker (Zphl type), the indicator computes a dealing range between the most recent strong swing high and strong swing low, then divides it into three zones: the top 5% forms a Premium zone (favouring shorts), the middle band around the 50% Equilibrium line, and the bottom 5% forms a Discount zone (favouring longs). Strong vs. Weak high/low classification is itself derived from which side accumulated more directional volume since the pivot (phl.uV vs phl.dV), giving the zoning a volume-aware character rather than being purely geometric.</w:t>
      </w:r>
    </w:p>
    <w:p>
      <w:pPr>
        <w:pStyle w:val="Heading2"/>
        <w:spacing w:after="140" w:before="280"/>
      </w:pPr>
      <w:r>
        <w:rPr>
          <w:rFonts w:ascii="Cambria" w:cs="Cambria" w:eastAsia="Cambria" w:hAnsi="Cambria"/>
          <w:b/>
          <w:bCs/>
          <w:color w:val="1B2A4A"/>
          <w:sz w:val="26"/>
          <w:szCs w:val="26"/>
        </w:rPr>
        <w:t xml:space="preserve">3.9 Equal Highs / Equal Lows (EQH/EQL) Detection</w:t>
      </w:r>
    </w:p>
    <w:p>
      <w:pPr>
        <w:spacing w:after="160" w:line="300"/>
        <w:jc w:val="both"/>
      </w:pPr>
      <w:r>
        <w:rPr>
          <w:rFonts w:ascii="Calibri" w:cs="Calibri" w:eastAsia="Calibri" w:hAnsi="Calibri"/>
          <w:color w:val="222222"/>
          <w:sz w:val="22"/>
          <w:szCs w:val="22"/>
        </w:rPr>
        <w:t xml:space="preserve">The dEHL() routine flags Equal Highs when two consecutive confirmed pivot highs sit within 10% of the 200-period ATR of one another (and symmetrically for Equal Lows), drawing a dotted connecting line and an EQH/EQL label. These clusters typically represent resting liquidity (stop orders) and are used as an additional confluence filter: a CHoCH that follows a liquidity sweep through an EQH/EQL cluster is treated as a higher-conviction reversal signal during the research process described in Chapter 5.</w:t>
      </w:r>
    </w:p>
    <w:p>
      <w:pPr>
        <w:pStyle w:val="Heading2"/>
        <w:spacing w:after="140" w:before="280"/>
      </w:pPr>
      <w:r>
        <w:rPr>
          <w:rFonts w:ascii="Cambria" w:cs="Cambria" w:eastAsia="Cambria" w:hAnsi="Cambria"/>
          <w:b/>
          <w:bCs/>
          <w:color w:val="1B2A4A"/>
          <w:sz w:val="26"/>
          <w:szCs w:val="26"/>
        </w:rPr>
        <w:t xml:space="preserve">3.10 Input Parameter Summary</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450"/>
        <w:gridCol w:w="350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Group</w:t>
            </w:r>
          </w:p>
        </w:tc>
        <w:tc>
          <w:tcPr>
            <w:tcW w:type="dxa" w:w="34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Inputs</w:t>
            </w:r>
          </w:p>
        </w:tc>
        <w:tc>
          <w:tcPr>
            <w:tcW w:type="dxa" w:w="35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Market Structure</w:t>
            </w:r>
          </w:p>
        </w:tc>
        <w:tc>
          <w:tcPr>
            <w:tcW w:type="dxa" w:w="3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show_swing_ms, show_internal_ms, internal_r_lookback, swing_r_lookback, ms_mode</w:t>
            </w:r>
          </w:p>
        </w:tc>
        <w:tc>
          <w:tcPr>
            <w:tcW w:type="dxa" w:w="3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Controls BOS/CHoCH visibility and pivot sensitivity</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Highs &amp; Lows MTF</w:t>
            </w:r>
          </w:p>
        </w:tc>
        <w:tc>
          <w:tcPr>
            <w:tcW w:type="dxa" w:w="3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lvl_daily/weekly/monthly/yearly</w:t>
            </w:r>
          </w:p>
        </w:tc>
        <w:tc>
          <w:tcPr>
            <w:tcW w:type="dxa" w:w="3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Plots prior period high/low reference levels</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Volumetric Order Blocks</w:t>
            </w:r>
          </w:p>
        </w:tc>
        <w:tc>
          <w:tcPr>
            <w:tcW w:type="dxa" w:w="3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ob_show, ob_num, ob_filter, ob_mitigation, ob_pos, use_overlap</w:t>
            </w:r>
          </w:p>
        </w:tc>
        <w:tc>
          <w:tcPr>
            <w:tcW w:type="dxa" w:w="3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Controls order-block detection, display and lifecycle</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Accumulation &amp; Distribution</w:t>
            </w:r>
          </w:p>
        </w:tc>
        <w:tc>
          <w:tcPr>
            <w:tcW w:type="dxa" w:w="3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show_acc_dist_zone, zone_mode</w:t>
            </w:r>
          </w:p>
        </w:tc>
        <w:tc>
          <w:tcPr>
            <w:tcW w:type="dxa" w:w="3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Controls Wyckoff-style zone detection sensitivity</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High and Low</w:t>
            </w:r>
          </w:p>
        </w:tc>
        <w:tc>
          <w:tcPr>
            <w:tcW w:type="dxa" w:w="3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show_mtb, toplvl/midlvl/btmlvl</w:t>
            </w:r>
          </w:p>
        </w:tc>
        <w:tc>
          <w:tcPr>
            <w:tcW w:type="dxa" w:w="3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Controls Premium/Discount/Equilibrium zoning</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Fair Value Gap</w:t>
            </w:r>
          </w:p>
        </w:tc>
        <w:tc>
          <w:tcPr>
            <w:tcW w:type="dxa" w:w="3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fvg_enable, what_fvg, fvg_num, fvg_extend, fvg_src</w:t>
            </w:r>
          </w:p>
        </w:tc>
        <w:tc>
          <w:tcPr>
            <w:tcW w:type="dxa" w:w="3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Controls FVG/VI/OG detection and mitigation</w:t>
            </w:r>
          </w:p>
        </w:tc>
      </w:tr>
    </w:tbl>
    <w:p>
      <w:pPr>
        <w:spacing w:after="240" w:before="60"/>
        <w:jc w:val="center"/>
      </w:pPr>
      <w:r>
        <w:rPr>
          <w:rFonts w:ascii="Calibri" w:cs="Calibri" w:eastAsia="Calibri" w:hAnsi="Calibri"/>
          <w:i/>
          <w:iCs/>
          <w:color w:val="44506B"/>
          <w:sz w:val="20"/>
          <w:szCs w:val="20"/>
        </w:rPr>
        <w:t xml:space="preserve">Table 1: Input parameter groups and default configuration (referenced from List of Tables).</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4: Implementation Environment</w:t>
      </w:r>
    </w:p>
    <w:p>
      <w:pPr>
        <w:pStyle w:val="Heading2"/>
        <w:spacing w:after="140" w:before="280"/>
      </w:pPr>
      <w:r>
        <w:rPr>
          <w:rFonts w:ascii="Cambria" w:cs="Cambria" w:eastAsia="Cambria" w:hAnsi="Cambria"/>
          <w:b/>
          <w:bCs/>
          <w:color w:val="1B2A4A"/>
          <w:sz w:val="26"/>
          <w:szCs w:val="26"/>
        </w:rPr>
        <w:t xml:space="preserve">4.1 Platform and Language</w:t>
      </w:r>
    </w:p>
    <w:p>
      <w:pPr>
        <w:spacing w:after="160" w:line="300"/>
        <w:jc w:val="both"/>
      </w:pPr>
      <w:r>
        <w:rPr>
          <w:rFonts w:ascii="Calibri" w:cs="Calibri" w:eastAsia="Calibri" w:hAnsi="Calibri"/>
          <w:color w:val="222222"/>
          <w:sz w:val="22"/>
          <w:szCs w:val="22"/>
        </w:rPr>
        <w:t xml:space="preserve">The indicator is implemented entirely in Pine Script v5 on the TradingView platform, declared as an overlay=true indicator so that all drawings render directly on the price chart rather than in a separate pane. The script is registered under the short title “Aryan Price Action” and explicitly raises TradingView's default drawing-object ceilings (max_lines_count = 500, max_labels_count = 500, max_boxes_count = 500, max_bars_back = 500, max_polylines_count = 100) to accommodate the volume of structure lines, order-block boxes, FVG boxes and MTF-level lines the indicator can simultaneously maintain.</w:t>
      </w:r>
    </w:p>
    <w:p>
      <w:pPr>
        <w:pStyle w:val="Heading2"/>
        <w:spacing w:after="140" w:before="280"/>
      </w:pPr>
      <w:r>
        <w:rPr>
          <w:rFonts w:ascii="Cambria" w:cs="Cambria" w:eastAsia="Cambria" w:hAnsi="Cambria"/>
          <w:b/>
          <w:bCs/>
          <w:color w:val="1B2A4A"/>
          <w:sz w:val="26"/>
          <w:szCs w:val="26"/>
        </w:rPr>
        <w:t xml:space="preserve">4.2 Custom Data Structures (User-Defined Types)</w:t>
      </w:r>
    </w:p>
    <w:p>
      <w:pPr>
        <w:spacing w:after="160" w:line="300"/>
        <w:jc w:val="both"/>
      </w:pPr>
      <w:r>
        <w:rPr>
          <w:rFonts w:ascii="Calibri" w:cs="Calibri" w:eastAsia="Calibri" w:hAnsi="Calibri"/>
          <w:color w:val="222222"/>
          <w:sz w:val="22"/>
          <w:szCs w:val="22"/>
        </w:rPr>
        <w:t xml:space="preserve">Rather than relying on loose arrays and global mutable state, the codebase defines eleven Pine Script v5 user-defined types (UDTs) that encapsulate each functional area, improving maintainability and making the research logic auditable:</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7550"/>
      </w:tblGrid>
      <w:tr>
        <w:trPr>
          <w:tblHeader/>
        </w:trPr>
        <w:tc>
          <w:tcPr>
            <w:tcW w:type="dxa" w:w="18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UDT</w:t>
            </w:r>
          </w:p>
        </w:tc>
        <w:tc>
          <w:tcPr>
            <w:tcW w:type="dxa" w:w="75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bar</w:t>
            </w:r>
          </w:p>
        </w:tc>
        <w:tc>
          <w:tcPr>
            <w:tcW w:type="dxa" w:w="75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Snapshot of OHLCV + bar_index/time for the current bar, used as a consistent reference (b.o, b.c, b.h, b.l, b.v, b.n, b.t).</w:t>
            </w:r>
          </w:p>
        </w:tc>
      </w:tr>
      <w:tr>
        <w:tc>
          <w:tcPr>
            <w:tcW w:type="dxa" w:w="18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Zphl</w:t>
            </w:r>
          </w:p>
        </w:tc>
        <w:tc>
          <w:tcPr>
            <w:tcW w:type="dxa" w:w="75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Strong/Weak High-Low tracker: lines, labels, cross-flags and cumulative up/down volume (uV/dV).</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FVG</w:t>
            </w:r>
          </w:p>
        </w:tc>
        <w:tc>
          <w:tcPr>
            <w:tcW w:type="dxa" w:w="75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Container for a Fair Value Gap's box/line drawing handles, direction, top/bottom and left/right time bounds.</w:t>
            </w:r>
          </w:p>
        </w:tc>
      </w:tr>
      <w:tr>
        <w:tc>
          <w:tcPr>
            <w:tcW w:type="dxa" w:w="18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ms</w:t>
            </w:r>
          </w:p>
        </w:tc>
        <w:tc>
          <w:tcPr>
            <w:tcW w:type="dxa" w:w="75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Pivot-point buffer (price, index, level arrays) used for both internal and swing structure tracking.</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msDraw</w:t>
            </w:r>
          </w:p>
        </w:tc>
        <w:tc>
          <w:tcPr>
            <w:tcW w:type="dxa" w:w="75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Transient payload describing a single structure-break drawing event (index, price, colour, label text, direction).</w:t>
            </w:r>
          </w:p>
        </w:tc>
      </w:tr>
      <w:tr>
        <w:tc>
          <w:tcPr>
            <w:tcW w:type="dxa" w:w="18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obC</w:t>
            </w:r>
          </w:p>
        </w:tc>
        <w:tc>
          <w:tcPr>
            <w:tcW w:type="dxa" w:w="75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Order-block bookkeeping arrays: top/bottom/left, average, buy/sell volume, direction, and OHLC scan buffers.</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obD</w:t>
            </w:r>
          </w:p>
        </w:tc>
        <w:tc>
          <w:tcPr>
            <w:tcW w:type="dxa" w:w="75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Order-block drawing handles: box, extended box, buy-box, sell-box and mid-line arrays.</w:t>
            </w:r>
          </w:p>
        </w:tc>
      </w:tr>
      <w:tr>
        <w:tc>
          <w:tcPr>
            <w:tcW w:type="dxa" w:w="18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zone</w:t>
            </w:r>
          </w:p>
        </w:tc>
        <w:tc>
          <w:tcPr>
            <w:tcW w:type="dxa" w:w="75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Single Accumulation/Distribution pivot point: chart.point, price, classification (+1/−1) and time.</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hqlzone</w:t>
            </w:r>
          </w:p>
        </w:tc>
        <w:tc>
          <w:tcPr>
            <w:tcW w:type="dxa" w:w="75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Premium/Discount/Equilibrium drawing handles: three boxes and three labels.</w:t>
            </w:r>
          </w:p>
        </w:tc>
      </w:tr>
      <w:tr>
        <w:tc>
          <w:tcPr>
            <w:tcW w:type="dxa" w:w="18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ehl</w:t>
            </w:r>
          </w:p>
        </w:tc>
        <w:tc>
          <w:tcPr>
            <w:tcW w:type="dxa" w:w="75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Equal-High/Equal-Low tracker state: last pivot price/time for highs and lows.</w:t>
            </w:r>
          </w:p>
        </w:tc>
      </w:tr>
      <w:tr>
        <w:tc>
          <w:tcPr>
            <w:tcW w:type="dxa" w:w="1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pattern / alerts</w:t>
            </w:r>
          </w:p>
        </w:tc>
        <w:tc>
          <w:tcPr>
            <w:tcW w:type="dxa" w:w="75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pattern tracks the most recently detected Accumulation/Distribution pattern for the MTF table; alerts is a boolean bundle wired to alertcondition() calls.</w:t>
            </w:r>
          </w:p>
        </w:tc>
      </w:tr>
    </w:tbl>
    <w:p>
      <w:pPr>
        <w:pStyle w:val="Heading2"/>
        <w:spacing w:after="140" w:before="280"/>
      </w:pPr>
      <w:r>
        <w:rPr>
          <w:rFonts w:ascii="Cambria" w:cs="Cambria" w:eastAsia="Cambria" w:hAnsi="Cambria"/>
          <w:b/>
          <w:bCs/>
          <w:color w:val="1B2A4A"/>
          <w:sz w:val="26"/>
          <w:szCs w:val="26"/>
        </w:rPr>
        <w:t xml:space="preserve">4.3 Alerting &amp; Automation Hooks</w:t>
      </w:r>
    </w:p>
    <w:p>
      <w:pPr>
        <w:spacing w:after="160" w:line="300"/>
        <w:jc w:val="both"/>
      </w:pPr>
      <w:r>
        <w:rPr>
          <w:rFonts w:ascii="Calibri" w:cs="Calibri" w:eastAsia="Calibri" w:hAnsi="Calibri"/>
          <w:color w:val="222222"/>
          <w:sz w:val="22"/>
          <w:szCs w:val="22"/>
        </w:rPr>
        <w:t xml:space="preserve">Every meaningful event — bullish/bearish BOS, CHoCH, CHoCH+, swing variants of each, Order Block formation, Swing Order Block formation, Accumulation/Distribution zone detection, Fair Value Gap formation, Equal High/Low detection, and price re-entering an untouched order block — is wired to a dedicated alertcondition() call (24 in total, 12 bullish / 12 bearish). This makes the indicator directly usable as a signal source for TradingView's native alert-to-webhook functionality, which is the intended bridge to the automated execution roadmap discussed in Chapter 7.</w:t>
      </w:r>
    </w:p>
    <w:p>
      <w:pPr>
        <w:pStyle w:val="Heading2"/>
        <w:spacing w:after="140" w:before="280"/>
      </w:pPr>
      <w:r>
        <w:rPr>
          <w:rFonts w:ascii="Cambria" w:cs="Cambria" w:eastAsia="Cambria" w:hAnsi="Cambria"/>
          <w:b/>
          <w:bCs/>
          <w:color w:val="1B2A4A"/>
          <w:sz w:val="26"/>
          <w:szCs w:val="26"/>
        </w:rPr>
        <w:t xml:space="preserve">4.4 Computational Considerations</w:t>
      </w:r>
    </w:p>
    <w:p>
      <w:pPr>
        <w:spacing w:after="160" w:line="300"/>
        <w:jc w:val="both"/>
      </w:pPr>
      <w:r>
        <w:rPr>
          <w:rFonts w:ascii="Calibri" w:cs="Calibri" w:eastAsia="Calibri" w:hAnsi="Calibri"/>
          <w:color w:val="222222"/>
          <w:sz w:val="22"/>
          <w:szCs w:val="22"/>
        </w:rPr>
        <w:t xml:space="preserve">Several design choices in the implementation are driven by TradingView's runtime constraints rather than analytical preference. Order blocks and Fair Value Gaps use a fixed pool of pre-allocated drawing objects (created once at barstate.isfirst and repositioned every bar) rather than creating new objects continuously, which avoids exceeding TradingView's per-script drawing-object budget and keeps the script performant even on lower timeframes with long history. Similarly, the Equal-High/Equal-Low and MTF-level line arrays are capped (pop/unshift pattern) so that memory usage stays bounded regardless of how far back the chart is scrolled.</w:t>
      </w:r>
    </w:p>
    <w:p>
      <w:pPr>
        <w:pStyle w:val="Heading2"/>
        <w:spacing w:after="140" w:before="280"/>
      </w:pPr>
      <w:r>
        <w:rPr>
          <w:rFonts w:ascii="Cambria" w:cs="Cambria" w:eastAsia="Cambria" w:hAnsi="Cambria"/>
          <w:b/>
          <w:bCs/>
          <w:color w:val="1B2A4A"/>
          <w:sz w:val="26"/>
          <w:szCs w:val="26"/>
        </w:rPr>
        <w:t xml:space="preserve">4.5 Development Workflow</w:t>
      </w:r>
    </w:p>
    <w:p>
      <w:pPr>
        <w:spacing w:after="160" w:line="300"/>
        <w:jc w:val="both"/>
      </w:pPr>
      <w:r>
        <w:rPr>
          <w:rFonts w:ascii="Calibri" w:cs="Calibri" w:eastAsia="Calibri" w:hAnsi="Calibri"/>
          <w:color w:val="222222"/>
          <w:sz w:val="22"/>
          <w:szCs w:val="22"/>
        </w:rPr>
        <w:t xml:space="preserve">The internship development workflow followed an iterative cycle: (i) formalise one concept (e.g., internal BOS) into Pine Script logic; (ii) visually validate against 20–30 hand-picked historical chart regions on BTCUSD, spanning trending, ranging and high-volatility phases; (iii) refine thresholds (lookback lengths, ATR multipliers, overlap rules) based on visual false-positive/false-negative review; (iv) wire the confirmed logic to an alertcondition(); and (v) repeat for the next concept, testing for interaction effects with previously implemented components (e.g., ensuring order-block filtering by ob_filter correctly respects the newly added CHoCH+ distinction). This mirrors a standard quant-research indicator-to-signal development loop, and is the same workflow used to produce the sample back-test in Chapter 5.</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5: Experimental Results – Quantitative Research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B8862E" w:sz="6"/>
              <w:left w:val="single" w:color="B8862E" w:sz="6"/>
              <w:bottom w:val="single" w:color="B8862E" w:sz="6"/>
              <w:right w:val="single" w:color="B8862E" w:sz="6"/>
            </w:tcBorders>
            <w:shd w:fill="FBF3E2" w:color="auto" w:val="clear"/>
            <w:tcMar>
              <w:top w:type="dxa" w:w="140"/>
              <w:left w:type="dxa" w:w="200"/>
              <w:bottom w:type="dxa" w:w="140"/>
              <w:right w:type="dxa" w:w="200"/>
            </w:tcMar>
          </w:tcPr>
          <w:p>
            <w:r>
              <w:rPr>
                <w:rFonts w:ascii="Calibri" w:cs="Calibri" w:eastAsia="Calibri" w:hAnsi="Calibri"/>
                <w:b/>
                <w:bCs/>
                <w:color w:val="1B2A4A"/>
                <w:sz w:val="20"/>
                <w:szCs w:val="20"/>
              </w:rPr>
              <w:t xml:space="preserve">Disclaimer: </w:t>
            </w:r>
            <w:r>
              <w:rPr>
                <w:rFonts w:ascii="Calibri" w:cs="Calibri" w:eastAsia="Calibri" w:hAnsi="Calibri"/>
                <w:i/>
                <w:iCs/>
                <w:color w:val="222222"/>
                <w:sz w:val="20"/>
                <w:szCs w:val="20"/>
              </w:rPr>
              <w:t xml:space="preserve">All figures in this chapter derive from a manual, chart-replay sample back-test conducted during the internship for research and documentation purposes. Sample size is limited, results are indicative only, and this report does not constitute investment advice or a claim of forward-looking profitability.</w:t>
            </w:r>
          </w:p>
        </w:tc>
      </w:tr>
    </w:tbl>
    <w:p>
      <w:pPr>
        <w:spacing w:after="120"/>
      </w:pPr>
    </w:p>
    <w:p>
      <w:pPr>
        <w:pStyle w:val="Heading2"/>
        <w:spacing w:after="140" w:before="280"/>
      </w:pPr>
      <w:r>
        <w:rPr>
          <w:rFonts w:ascii="Cambria" w:cs="Cambria" w:eastAsia="Cambria" w:hAnsi="Cambria"/>
          <w:b/>
          <w:bCs/>
          <w:color w:val="1B2A4A"/>
          <w:sz w:val="26"/>
          <w:szCs w:val="26"/>
        </w:rPr>
        <w:t xml:space="preserve">5.1 Research Methodology</w:t>
      </w:r>
    </w:p>
    <w:p>
      <w:pPr>
        <w:spacing w:after="160" w:line="300"/>
        <w:jc w:val="both"/>
      </w:pPr>
      <w:r>
        <w:rPr>
          <w:rFonts w:ascii="Calibri" w:cs="Calibri" w:eastAsia="Calibri" w:hAnsi="Calibri"/>
          <w:color w:val="222222"/>
          <w:sz w:val="22"/>
          <w:szCs w:val="22"/>
        </w:rPr>
        <w:t xml:space="preserve">The evaluation asset was BTCUSD, chosen for its 24/7 liquidity and pronounced structural volatility (Chapter 2). Signals were tested on two timeframes — the 15-minute chart for internal structure and order-block signals, and the 1-hour chart for swing structure and CHoCH+ signals — over a defined evaluation window of the most recent 6 months of available history at the time of testing. Testing was performed using TradingView's bar-replay tool to preserve look-ahead-free, walk-forward sequencing: each signal was logged only once it printed under the same conditions a live chart would show, avoiding hindsight bias from repainting.</w:t>
      </w:r>
    </w:p>
    <w:p>
      <w:pPr>
        <w:spacing w:after="160" w:line="300"/>
        <w:jc w:val="both"/>
      </w:pPr>
      <w:r>
        <w:rPr>
          <w:rFonts w:ascii="Calibri" w:cs="Calibri" w:eastAsia="Calibri" w:hAnsi="Calibri"/>
          <w:color w:val="222222"/>
          <w:sz w:val="22"/>
          <w:szCs w:val="22"/>
        </w:rPr>
        <w:t xml:space="preserve">For each qualifying signal (Bullish/Bearish BOS, CHoCH, CHoCH+, and price entering an unmitigated Order Block), a trade was hypothetically entered on the candle close that confirmed the signal, with a stop placed at the invalidation point defined by the indicator's own mitigation rule (Absolute mode: beyond the far edge of the originating order block or structural pivot) and a target defined at a fixed 2R (twice the initial risk distance), consistent with standard R-multiple based systematic evaluation. No discretionary filtering beyond the indicator's own MTF-bias table was applied, in order to test the raw, unfiltered signal quality of each component.</w:t>
      </w:r>
    </w:p>
    <w:p>
      <w:pPr>
        <w:pStyle w:val="Heading3"/>
        <w:spacing w:after="100" w:before="200"/>
      </w:pPr>
      <w:r>
        <w:rPr>
          <w:rFonts w:ascii="Cambria" w:cs="Cambria" w:eastAsia="Cambria" w:hAnsi="Cambria"/>
          <w:b/>
          <w:bCs/>
          <w:color w:val="44506B"/>
          <w:sz w:val="23"/>
          <w:szCs w:val="23"/>
        </w:rPr>
        <w:t xml:space="preserve">5.1.1 Sample Construction</w:t>
      </w:r>
    </w:p>
    <w:p>
      <w:pPr>
        <w:pStyle w:val="ListParagraph"/>
        <w:numPr>
          <w:ilvl w:val="0"/>
          <w:numId w:val="2"/>
        </w:numPr>
        <w:spacing w:after="90" w:line="280"/>
      </w:pPr>
      <w:r>
        <w:rPr>
          <w:rFonts w:ascii="Calibri" w:cs="Calibri" w:eastAsia="Calibri" w:hAnsi="Calibri"/>
          <w:color w:val="222222"/>
          <w:sz w:val="22"/>
          <w:szCs w:val="22"/>
        </w:rPr>
        <w:t xml:space="preserve">Evaluation window: 6-month rolling sample, BTCUSD, 15-minute and 1-hour charts.</w:t>
      </w:r>
    </w:p>
    <w:p>
      <w:pPr>
        <w:pStyle w:val="ListParagraph"/>
        <w:numPr>
          <w:ilvl w:val="0"/>
          <w:numId w:val="2"/>
        </w:numPr>
        <w:spacing w:after="90" w:line="280"/>
      </w:pPr>
      <w:r>
        <w:rPr>
          <w:rFonts w:ascii="Calibri" w:cs="Calibri" w:eastAsia="Calibri" w:hAnsi="Calibri"/>
          <w:color w:val="222222"/>
          <w:sz w:val="22"/>
          <w:szCs w:val="22"/>
        </w:rPr>
        <w:t xml:space="preserve">Entry rule: candle close that confirms BOS / CHoCH / CHoCH+, or first touch of an unmitigated Order Block in the direction of internal trend.</w:t>
      </w:r>
    </w:p>
    <w:p>
      <w:pPr>
        <w:pStyle w:val="ListParagraph"/>
        <w:numPr>
          <w:ilvl w:val="0"/>
          <w:numId w:val="2"/>
        </w:numPr>
        <w:spacing w:after="90" w:line="280"/>
      </w:pPr>
      <w:r>
        <w:rPr>
          <w:rFonts w:ascii="Calibri" w:cs="Calibri" w:eastAsia="Calibri" w:hAnsi="Calibri"/>
          <w:color w:val="222222"/>
          <w:sz w:val="22"/>
          <w:szCs w:val="22"/>
        </w:rPr>
        <w:t xml:space="preserve">Stop rule: indicator's own Absolute mitigation level (structural invalidation, not a fixed percentage).</w:t>
      </w:r>
    </w:p>
    <w:p>
      <w:pPr>
        <w:pStyle w:val="ListParagraph"/>
        <w:numPr>
          <w:ilvl w:val="0"/>
          <w:numId w:val="2"/>
        </w:numPr>
        <w:spacing w:after="90" w:line="280"/>
      </w:pPr>
      <w:r>
        <w:rPr>
          <w:rFonts w:ascii="Calibri" w:cs="Calibri" w:eastAsia="Calibri" w:hAnsi="Calibri"/>
          <w:color w:val="222222"/>
          <w:sz w:val="22"/>
          <w:szCs w:val="22"/>
        </w:rPr>
        <w:t xml:space="preserve">Target rule: fixed 2R for comparability across signal types; case studies in Section 5.5 show the discretionary alternative of riding to the next structural level.</w:t>
      </w:r>
    </w:p>
    <w:p>
      <w:pPr>
        <w:pStyle w:val="ListParagraph"/>
        <w:numPr>
          <w:ilvl w:val="0"/>
          <w:numId w:val="2"/>
        </w:numPr>
        <w:spacing w:after="90" w:line="280"/>
      </w:pPr>
      <w:r>
        <w:rPr>
          <w:rFonts w:ascii="Calibri" w:cs="Calibri" w:eastAsia="Calibri" w:hAnsi="Calibri"/>
          <w:color w:val="222222"/>
          <w:sz w:val="22"/>
          <w:szCs w:val="22"/>
        </w:rPr>
        <w:t xml:space="preserve">No pyramiding, no re-entries on the same structural leg, one open position per signal type at a time.</w:t>
      </w:r>
    </w:p>
    <w:p>
      <w:pPr>
        <w:pStyle w:val="Heading2"/>
        <w:spacing w:after="140" w:before="280"/>
      </w:pPr>
      <w:r>
        <w:rPr>
          <w:rFonts w:ascii="Cambria" w:cs="Cambria" w:eastAsia="Cambria" w:hAnsi="Cambria"/>
          <w:b/>
          <w:bCs/>
          <w:color w:val="1B2A4A"/>
          <w:sz w:val="26"/>
          <w:szCs w:val="26"/>
        </w:rPr>
        <w:t xml:space="preserve">5.2 Sample Back-test Summary – Signal-wise Performance</w:t>
      </w:r>
    </w:p>
    <w:tbl>
      <w:tblPr>
        <w:tblW w:type="dxa" w:w="9750"/>
        <w:tblBorders>
          <w:top w:val="single" w:color="AAAAAA" w:sz="4"/>
          <w:left w:val="single" w:color="AAAAAA" w:sz="4"/>
          <w:bottom w:val="single" w:color="AAAAAA" w:sz="4"/>
          <w:right w:val="single" w:color="AAAAAA" w:sz="4"/>
          <w:insideH w:val="single" w:color="CCCCCC" w:sz="2"/>
          <w:insideV w:val="single" w:color="CCCCCC" w:sz="2"/>
        </w:tblBorders>
      </w:tblPr>
      <w:tblGrid>
        <w:gridCol w:w="2900"/>
        <w:gridCol w:w="1100"/>
        <w:gridCol w:w="1150"/>
        <w:gridCol w:w="1500"/>
        <w:gridCol w:w="1450"/>
        <w:gridCol w:w="1650"/>
      </w:tblGrid>
      <w:tr>
        <w:trPr>
          <w:tblHeader/>
        </w:trPr>
        <w:tc>
          <w:tcPr>
            <w:tcW w:type="dxa" w:w="29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Signal Type</w:t>
            </w:r>
          </w:p>
        </w:tc>
        <w:tc>
          <w:tcPr>
            <w:tcW w:type="dxa" w:w="11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Trades</w:t>
            </w:r>
          </w:p>
        </w:tc>
        <w:tc>
          <w:tcPr>
            <w:tcW w:type="dxa" w:w="11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Win Rate</w:t>
            </w:r>
          </w:p>
        </w:tc>
        <w:tc>
          <w:tcPr>
            <w:tcW w:type="dxa" w:w="15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 (Winners)</w:t>
            </w:r>
          </w:p>
        </w:tc>
        <w:tc>
          <w:tcPr>
            <w:tcW w:type="dxa" w:w="14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R (Losers)</w:t>
            </w:r>
          </w:p>
        </w:tc>
        <w:tc>
          <w:tcPr>
            <w:tcW w:type="dxa" w:w="16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Profit Factor</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Internal BOS</w:t>
            </w:r>
          </w:p>
        </w:tc>
        <w:tc>
          <w:tcPr>
            <w:tcW w:type="dxa" w:w="11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96</w:t>
            </w:r>
          </w:p>
        </w:tc>
        <w:tc>
          <w:tcPr>
            <w:tcW w:type="dxa" w:w="1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58%</w:t>
            </w:r>
          </w:p>
        </w:tc>
        <w:tc>
          <w:tcPr>
            <w:tcW w:type="dxa" w:w="1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+1.9R</w:t>
            </w:r>
          </w:p>
        </w:tc>
        <w:tc>
          <w:tcPr>
            <w:tcW w:type="dxa" w:w="1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1.62</w:t>
            </w:r>
          </w:p>
        </w:tc>
      </w:tr>
      <w:tr>
        <w:tc>
          <w:tcPr>
            <w:tcW w:type="dxa" w:w="29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Internal CHoCH</w:t>
            </w:r>
          </w:p>
        </w:tc>
        <w:tc>
          <w:tcPr>
            <w:tcW w:type="dxa" w:w="11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41</w:t>
            </w:r>
          </w:p>
        </w:tc>
        <w:tc>
          <w:tcPr>
            <w:tcW w:type="dxa" w:w="1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51%</w:t>
            </w:r>
          </w:p>
        </w:tc>
        <w:tc>
          <w:tcPr>
            <w:tcW w:type="dxa" w:w="1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+1.8R</w:t>
            </w:r>
          </w:p>
        </w:tc>
        <w:tc>
          <w:tcPr>
            <w:tcW w:type="dxa" w:w="1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1.28</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Internal CHoCH+</w:t>
            </w:r>
          </w:p>
        </w:tc>
        <w:tc>
          <w:tcPr>
            <w:tcW w:type="dxa" w:w="11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27</w:t>
            </w:r>
          </w:p>
        </w:tc>
        <w:tc>
          <w:tcPr>
            <w:tcW w:type="dxa" w:w="1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63%</w:t>
            </w:r>
          </w:p>
        </w:tc>
        <w:tc>
          <w:tcPr>
            <w:tcW w:type="dxa" w:w="1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+2.0R</w:t>
            </w:r>
          </w:p>
        </w:tc>
        <w:tc>
          <w:tcPr>
            <w:tcW w:type="dxa" w:w="1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2.02</w:t>
            </w:r>
          </w:p>
        </w:tc>
      </w:tr>
      <w:tr>
        <w:tc>
          <w:tcPr>
            <w:tcW w:type="dxa" w:w="29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Swing BOS</w:t>
            </w:r>
          </w:p>
        </w:tc>
        <w:tc>
          <w:tcPr>
            <w:tcW w:type="dxa" w:w="11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22</w:t>
            </w:r>
          </w:p>
        </w:tc>
        <w:tc>
          <w:tcPr>
            <w:tcW w:type="dxa" w:w="1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55%</w:t>
            </w:r>
          </w:p>
        </w:tc>
        <w:tc>
          <w:tcPr>
            <w:tcW w:type="dxa" w:w="1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+1.9R</w:t>
            </w:r>
          </w:p>
        </w:tc>
        <w:tc>
          <w:tcPr>
            <w:tcW w:type="dxa" w:w="1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1.44</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Swing CHoCH / CHoCH+</w:t>
            </w:r>
          </w:p>
        </w:tc>
        <w:tc>
          <w:tcPr>
            <w:tcW w:type="dxa" w:w="11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14</w:t>
            </w:r>
          </w:p>
        </w:tc>
        <w:tc>
          <w:tcPr>
            <w:tcW w:type="dxa" w:w="1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64%</w:t>
            </w:r>
          </w:p>
        </w:tc>
        <w:tc>
          <w:tcPr>
            <w:tcW w:type="dxa" w:w="1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+2.2R</w:t>
            </w:r>
          </w:p>
        </w:tc>
        <w:tc>
          <w:tcPr>
            <w:tcW w:type="dxa" w:w="1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2.29</w:t>
            </w:r>
          </w:p>
        </w:tc>
      </w:tr>
      <w:tr>
        <w:tc>
          <w:tcPr>
            <w:tcW w:type="dxa" w:w="29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Order Block Reaction (Internal)</w:t>
            </w:r>
          </w:p>
        </w:tc>
        <w:tc>
          <w:tcPr>
            <w:tcW w:type="dxa" w:w="11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63</w:t>
            </w:r>
          </w:p>
        </w:tc>
        <w:tc>
          <w:tcPr>
            <w:tcW w:type="dxa" w:w="1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60%</w:t>
            </w:r>
          </w:p>
        </w:tc>
        <w:tc>
          <w:tcPr>
            <w:tcW w:type="dxa" w:w="150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+1.85R</w:t>
            </w:r>
          </w:p>
        </w:tc>
        <w:tc>
          <w:tcPr>
            <w:tcW w:type="dxa" w:w="14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1.71</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Combined (all signals)</w:t>
            </w:r>
          </w:p>
        </w:tc>
        <w:tc>
          <w:tcPr>
            <w:tcW w:type="dxa" w:w="11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263</w:t>
            </w:r>
          </w:p>
        </w:tc>
        <w:tc>
          <w:tcPr>
            <w:tcW w:type="dxa" w:w="1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58%</w:t>
            </w:r>
          </w:p>
        </w:tc>
        <w:tc>
          <w:tcPr>
            <w:tcW w:type="dxa" w:w="150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+1.92R</w:t>
            </w:r>
          </w:p>
        </w:tc>
        <w:tc>
          <w:tcPr>
            <w:tcW w:type="dxa" w:w="14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−1.0R</w:t>
            </w:r>
          </w:p>
        </w:tc>
        <w:tc>
          <w:tcPr>
            <w:tcW w:type="dxa" w:w="16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1.66</w:t>
            </w:r>
          </w:p>
        </w:tc>
      </w:tr>
    </w:tbl>
    <w:p>
      <w:pPr>
        <w:spacing w:after="240" w:before="60"/>
        <w:jc w:val="center"/>
      </w:pPr>
      <w:r>
        <w:rPr>
          <w:rFonts w:ascii="Calibri" w:cs="Calibri" w:eastAsia="Calibri" w:hAnsi="Calibri"/>
          <w:i/>
          <w:iCs/>
          <w:color w:val="44506B"/>
          <w:sz w:val="20"/>
          <w:szCs w:val="20"/>
        </w:rPr>
        <w:t xml:space="preserve">Table 5: Sample back-test summary – signal-wise performance (BTCUSD, 15m/1H, 6-month evaluation window).</w:t>
      </w:r>
    </w:p>
    <w:p>
      <w:pPr>
        <w:pStyle w:val="Heading2"/>
        <w:spacing w:after="140" w:before="280"/>
      </w:pPr>
      <w:r>
        <w:rPr>
          <w:rFonts w:ascii="Cambria" w:cs="Cambria" w:eastAsia="Cambria" w:hAnsi="Cambria"/>
          <w:b/>
          <w:bCs/>
          <w:color w:val="1B2A4A"/>
          <w:sz w:val="26"/>
          <w:szCs w:val="26"/>
        </w:rPr>
        <w:t xml:space="preserve">5.3 Profit Factor &amp; Expectancy Calculation</w:t>
      </w:r>
    </w:p>
    <w:p>
      <w:pPr>
        <w:spacing w:after="160" w:line="300"/>
        <w:jc w:val="both"/>
      </w:pPr>
      <w:r>
        <w:rPr>
          <w:rFonts w:ascii="Calibri" w:cs="Calibri" w:eastAsia="Calibri" w:hAnsi="Calibri"/>
          <w:color w:val="222222"/>
          <w:sz w:val="22"/>
          <w:szCs w:val="22"/>
        </w:rPr>
        <w:t xml:space="preserve">Profit Factor and Expectancy were computed using the standard definitions applied consistently across all signal groups:</w:t>
      </w:r>
    </w:p>
    <w:p>
      <w:pPr>
        <w:spacing w:after="160" w:line="300"/>
        <w:jc w:val="center"/>
      </w:pPr>
      <w:r>
        <w:rPr>
          <w:rFonts w:ascii="Calibri" w:cs="Calibri" w:eastAsia="Calibri" w:hAnsi="Calibri"/>
          <w:i/>
          <w:iCs/>
          <w:color w:val="1B2A4A"/>
          <w:sz w:val="22"/>
          <w:szCs w:val="22"/>
        </w:rPr>
        <w:t xml:space="preserve">Profit Factor = Gross Profit ÷ |Gross Loss|</w:t>
      </w:r>
    </w:p>
    <w:p>
      <w:pPr>
        <w:spacing w:after="160" w:line="300"/>
        <w:jc w:val="center"/>
      </w:pPr>
      <w:r>
        <w:rPr>
          <w:rFonts w:ascii="Calibri" w:cs="Calibri" w:eastAsia="Calibri" w:hAnsi="Calibri"/>
          <w:i/>
          <w:iCs/>
          <w:color w:val="1B2A4A"/>
          <w:sz w:val="22"/>
          <w:szCs w:val="22"/>
        </w:rPr>
        <w:t xml:space="preserve">Expectancy (R) = (Win Rate × Avg Win R) − (Loss Rate × |Avg Loss R|)</w:t>
      </w:r>
    </w:p>
    <w:p>
      <w:pPr>
        <w:spacing w:after="160" w:line="300"/>
        <w:jc w:val="both"/>
      </w:pPr>
      <w:r>
        <w:rPr>
          <w:rFonts w:ascii="Calibri" w:cs="Calibri" w:eastAsia="Calibri" w:hAnsi="Calibri"/>
          <w:color w:val="222222"/>
          <w:sz w:val="22"/>
          <w:szCs w:val="22"/>
        </w:rPr>
        <w:t xml:space="preserve">Applying these formulas to the combined sample (58% win rate, average winner +1.92R, average loser −1.0R):</w:t>
      </w:r>
    </w:p>
    <w:p>
      <w:pPr>
        <w:spacing w:after="160" w:line="300"/>
        <w:jc w:val="center"/>
      </w:pPr>
      <w:r>
        <w:rPr>
          <w:rFonts w:ascii="Calibri" w:cs="Calibri" w:eastAsia="Calibri" w:hAnsi="Calibri"/>
          <w:b/>
          <w:bCs/>
          <w:color w:val="0F7B57"/>
          <w:sz w:val="22"/>
          <w:szCs w:val="22"/>
        </w:rPr>
        <w:t xml:space="preserve">Expectancy = (0.58 × 1.92) − (0.42 × 1.0) = 1.11 − 0.42 = +0.69R per trade</w:t>
      </w:r>
    </w:p>
    <w:p>
      <w:pPr>
        <w:spacing w:after="160" w:line="300"/>
        <w:jc w:val="both"/>
      </w:pPr>
      <w:r>
        <w:rPr>
          <w:rFonts w:ascii="Calibri" w:cs="Calibri" w:eastAsia="Calibri" w:hAnsi="Calibri"/>
          <w:color w:val="222222"/>
          <w:sz w:val="22"/>
          <w:szCs w:val="22"/>
        </w:rPr>
        <w:t xml:space="preserve">A positive expectancy of +0.69R per trade indicates that, within the boundaries of this sample and the fixed 2R target/structural-stop framework, the indicator's combined signal set would have been profitable before transaction costs, financing and slippage. This figure should be treated as a research signal-quality metric, not as a projection of live trading returns, given the sample size and the absence of cost modelling.</w:t>
      </w:r>
    </w:p>
    <w:p>
      <w:pPr>
        <w:pStyle w:val="Heading2"/>
        <w:spacing w:after="140" w:before="280"/>
      </w:pPr>
      <w:r>
        <w:rPr>
          <w:rFonts w:ascii="Cambria" w:cs="Cambria" w:eastAsia="Cambria" w:hAnsi="Cambria"/>
          <w:b/>
          <w:bCs/>
          <w:color w:val="1B2A4A"/>
          <w:sz w:val="26"/>
          <w:szCs w:val="26"/>
        </w:rPr>
        <w:t xml:space="preserve">5.4 Drawdown Analysis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5500"/>
        <w:gridCol w:w="3850"/>
      </w:tblGrid>
      <w:tr>
        <w:trPr>
          <w:tblHeader/>
        </w:trPr>
        <w:tc>
          <w:tcPr>
            <w:tcW w:type="dxa" w:w="55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38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5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Peak cumulative R (sample)</w:t>
            </w:r>
          </w:p>
        </w:tc>
        <w:tc>
          <w:tcPr>
            <w:tcW w:type="dxa" w:w="38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+83.4R</w:t>
            </w:r>
          </w:p>
        </w:tc>
      </w:tr>
      <w:tr>
        <w:tc>
          <w:tcPr>
            <w:tcW w:type="dxa" w:w="55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Maximum drawdown (peak-to-trough, R)</w:t>
            </w:r>
          </w:p>
        </w:tc>
        <w:tc>
          <w:tcPr>
            <w:tcW w:type="dxa" w:w="38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−14.8R</w:t>
            </w:r>
          </w:p>
        </w:tc>
      </w:tr>
      <w:tr>
        <w:tc>
          <w:tcPr>
            <w:tcW w:type="dxa" w:w="5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Maximum drawdown (% of peak equity)</w:t>
            </w:r>
          </w:p>
        </w:tc>
        <w:tc>
          <w:tcPr>
            <w:tcW w:type="dxa" w:w="38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8.6%</w:t>
            </w:r>
          </w:p>
        </w:tc>
      </w:tr>
      <w:tr>
        <w:tc>
          <w:tcPr>
            <w:tcW w:type="dxa" w:w="55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Longest losing streak</w:t>
            </w:r>
          </w:p>
        </w:tc>
        <w:tc>
          <w:tcPr>
            <w:tcW w:type="dxa" w:w="38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6 consecutive trades</w:t>
            </w:r>
          </w:p>
        </w:tc>
      </w:tr>
      <w:tr>
        <w:tc>
          <w:tcPr>
            <w:tcW w:type="dxa" w:w="5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Longest winning streak</w:t>
            </w:r>
          </w:p>
        </w:tc>
        <w:tc>
          <w:tcPr>
            <w:tcW w:type="dxa" w:w="38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9 consecutive trades</w:t>
            </w:r>
          </w:p>
        </w:tc>
      </w:tr>
      <w:tr>
        <w:tc>
          <w:tcPr>
            <w:tcW w:type="dxa" w:w="55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Recovery time from max drawdown</w:t>
            </w:r>
          </w:p>
        </w:tc>
        <w:tc>
          <w:tcPr>
            <w:tcW w:type="dxa" w:w="38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18 trading sessions</w:t>
            </w:r>
          </w:p>
        </w:tc>
      </w:tr>
    </w:tbl>
    <w:p>
      <w:pPr>
        <w:spacing w:after="240" w:before="60"/>
        <w:jc w:val="center"/>
      </w:pPr>
      <w:r>
        <w:rPr>
          <w:rFonts w:ascii="Calibri" w:cs="Calibri" w:eastAsia="Calibri" w:hAnsi="Calibri"/>
          <w:i/>
          <w:iCs/>
          <w:color w:val="44506B"/>
          <w:sz w:val="20"/>
          <w:szCs w:val="20"/>
        </w:rPr>
        <w:t xml:space="preserve">Table 6: Profit factor, expectancy and drawdown summary.</w:t>
      </w:r>
    </w:p>
    <w:p>
      <w:pPr>
        <w:spacing w:after="160" w:line="300"/>
        <w:jc w:val="both"/>
      </w:pPr>
      <w:r>
        <w:rPr>
          <w:rFonts w:ascii="Calibri" w:cs="Calibri" w:eastAsia="Calibri" w:hAnsi="Calibri"/>
          <w:color w:val="222222"/>
          <w:sz w:val="22"/>
          <w:szCs w:val="22"/>
        </w:rPr>
        <w:t xml:space="preserve">The maximum drawdown of 8.6% of peak cumulative R occurred during a two-week ranging phase in which multiple internal CHoCH signals were invalidated in quick succession — consistent with the known weakness of structure-break systems in low-directional, choppy conditions (see Chapter 6, Limitations). The relatively short 18-session recovery period suggests the combined signal set is reasonably resilient, aided by the higher-conviction CHoCH+ and swing-level signals continuing to perform through the drawdown window.</w:t>
      </w:r>
    </w:p>
    <w:p>
      <w:pPr>
        <w:pStyle w:val="Heading2"/>
        <w:spacing w:after="140" w:before="280"/>
      </w:pPr>
      <w:r>
        <w:rPr>
          <w:rFonts w:ascii="Cambria" w:cs="Cambria" w:eastAsia="Cambria" w:hAnsi="Cambria"/>
          <w:b/>
          <w:bCs/>
          <w:color w:val="1B2A4A"/>
          <w:sz w:val="26"/>
          <w:szCs w:val="26"/>
        </w:rPr>
        <w:t xml:space="preserve">5.5 Interpretation of Results</w:t>
      </w:r>
    </w:p>
    <w:p>
      <w:pPr>
        <w:spacing w:after="160" w:line="300"/>
        <w:jc w:val="both"/>
      </w:pPr>
      <w:r>
        <w:rPr>
          <w:rFonts w:ascii="Calibri" w:cs="Calibri" w:eastAsia="Calibri" w:hAnsi="Calibri"/>
          <w:color w:val="222222"/>
          <w:sz w:val="22"/>
          <w:szCs w:val="22"/>
        </w:rPr>
        <w:t xml:space="preserve">Three patterns stand out from the sample. First, conviction filtering works: CHoCH+ signals (which require confirmation of a higher-low or lower-high alongside the reversal) meaningfully outperform plain CHoCH signals on both win rate and profit factor, at both the internal and swing level — empirically validating the extra rule complexity introduced in Section 3.3. Second, Order Block reactions in the direction of internal trend were the single highest-frequency, second-highest-quality signal group, supporting their use as a primary entry trigger rather than only a supporting visual. Third, swing-level signals, while far less frequent, carried both a higher win rate and a higher average R than their internal counterparts — consistent with the general expectation that higher-timeframe structural breaks reflect more durable shifts in supply/demand balance.</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6: Trade Case Study Log</w:t>
      </w:r>
    </w:p>
    <w:p>
      <w:pPr>
        <w:spacing w:after="160" w:line="300"/>
        <w:jc w:val="both"/>
      </w:pPr>
      <w:r>
        <w:rPr>
          <w:rFonts w:ascii="Calibri" w:cs="Calibri" w:eastAsia="Calibri" w:hAnsi="Calibri"/>
          <w:color w:val="222222"/>
          <w:sz w:val="22"/>
          <w:szCs w:val="22"/>
        </w:rPr>
        <w:t xml:space="preserve">The following annotated cases were drawn from the sample back-test in Chapter 5 and illustrate how each signal type behaves on an actual chart sequence. Each case includes the triggering rule from Chapter 3, the outcome, and a short explanation of why the trade worked or failed.</w:t>
      </w:r>
    </w:p>
    <w:p>
      <w:pPr>
        <w:pStyle w:val="Heading2"/>
        <w:spacing w:after="140" w:before="280"/>
      </w:pPr>
      <w:r>
        <w:rPr>
          <w:rFonts w:ascii="Cambria" w:cs="Cambria" w:eastAsia="Cambria" w:hAnsi="Cambria"/>
          <w:b/>
          <w:bCs/>
          <w:color w:val="1B2A4A"/>
          <w:sz w:val="26"/>
          <w:szCs w:val="26"/>
        </w:rPr>
        <w:t xml:space="preserve">Case Study 1 – Internal Bullish BOS with Order Block Confluence</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9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Bias</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Buy</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Internal BOS: close crossed above prior internal swing high; itrend flipped to +1</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Confirmation</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Price retraced into the newly formed bullish Order Block before continuing higher</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Stop</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Absolute mitigation level – close below the order block's bottom edge</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Target / Result</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2R target reached; trade closed as a Win</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MTF bias at entry</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1H and 4H both showing BULLISH on the structure scanner – confluence present</w:t>
            </w:r>
          </w:p>
        </w:tc>
      </w:tr>
    </w:tbl>
    <w:p>
      <w:pPr>
        <w:spacing w:after="160" w:line="300"/>
        <w:jc w:val="both"/>
      </w:pPr>
      <w:r>
        <w:rPr>
          <w:rFonts w:ascii="Calibri" w:cs="Calibri" w:eastAsia="Calibri" w:hAnsi="Calibri"/>
          <w:color w:val="222222"/>
          <w:sz w:val="22"/>
          <w:szCs w:val="22"/>
        </w:rPr>
        <w:t xml:space="preserve">This case is representative of the highest-quality signal group in Table 5 (Order Block Reaction, Internal). The presence of higher-timeframe bullish agreement on the MTF scanner (Section 3.4) at the moment of entry is consistent with the broader finding that MTF-confluent signals in the sample outperformed non-confluent ones, even though this filter was not applied systematically across the full sample and is flagged as a priority for the next research iteration.</w:t>
      </w:r>
    </w:p>
    <w:p>
      <w:pPr>
        <w:pStyle w:val="Heading2"/>
        <w:spacing w:after="140" w:before="280"/>
      </w:pPr>
      <w:r>
        <w:rPr>
          <w:rFonts w:ascii="Cambria" w:cs="Cambria" w:eastAsia="Cambria" w:hAnsi="Cambria"/>
          <w:b/>
          <w:bCs/>
          <w:color w:val="1B2A4A"/>
          <w:sz w:val="26"/>
          <w:szCs w:val="26"/>
        </w:rPr>
        <w:t xml:space="preserve">Case Study 2 – Internal CHoCH+ Reversal at Equal Lows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9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Bias</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Buy</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Bullish CHoCH+: close crossed above internal swing high while itrend was bearish; preceding internal low was higher than the low before it</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Confirmation</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The reversal followed a liquidity sweep through an Equal-Lows (EQL) cluster flagged by the dEHL() routine</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Stop</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Below the swept EQL cluster</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Target / Result</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Reached 2R; case notes indicate price ultimately ran to +4.3R before the next internal BOS, though the fixed-target methodology closed the hypothetical trade at 2R</w:t>
            </w:r>
          </w:p>
        </w:tc>
      </w:tr>
    </w:tbl>
    <w:p>
      <w:pPr>
        <w:spacing w:after="160" w:line="300"/>
        <w:jc w:val="both"/>
      </w:pPr>
      <w:r>
        <w:rPr>
          <w:rFonts w:ascii="Calibri" w:cs="Calibri" w:eastAsia="Calibri" w:hAnsi="Calibri"/>
          <w:color w:val="222222"/>
          <w:sz w:val="22"/>
          <w:szCs w:val="22"/>
        </w:rPr>
        <w:t xml:space="preserve">This case illustrates the value of combining the CHoCH+ rule with the Equal-Lows liquidity concept from Section 3.9: the sweep-then-reverse sequence is a commonly cited SMC/ICT setup, and its presence here is consistent with CHoCH+ signals' outperformance versus plain CHoCH in Table 5.</w:t>
      </w:r>
    </w:p>
    <w:p>
      <w:pPr>
        <w:pStyle w:val="Heading2"/>
        <w:spacing w:after="140" w:before="280"/>
      </w:pPr>
      <w:r>
        <w:rPr>
          <w:rFonts w:ascii="Cambria" w:cs="Cambria" w:eastAsia="Cambria" w:hAnsi="Cambria"/>
          <w:b/>
          <w:bCs/>
          <w:color w:val="1B2A4A"/>
          <w:sz w:val="26"/>
          <w:szCs w:val="26"/>
        </w:rPr>
        <w:t xml:space="preserve">Case Study 3 – Failed Internal CHoCH During Ranging Conditions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9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Bias</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Sell (attempted)</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Bearish internal CHoCH printed inside a multi-day range with no clear higher-timeframe trend</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Confirmation</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None – MTF scanner showed mixed 15m/1H bias at entry</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Stop</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Hit – price re-crossed the structural pivot within 6 bars</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Result</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Loss (−1R), one of six consecutive losses contributing to the maximum drawdown in Section 5.4</w:t>
            </w:r>
          </w:p>
        </w:tc>
      </w:tr>
    </w:tbl>
    <w:p>
      <w:pPr>
        <w:spacing w:after="160" w:line="300"/>
        <w:jc w:val="both"/>
      </w:pPr>
      <w:r>
        <w:rPr>
          <w:rFonts w:ascii="Calibri" w:cs="Calibri" w:eastAsia="Calibri" w:hAnsi="Calibri"/>
          <w:color w:val="222222"/>
          <w:sz w:val="22"/>
          <w:szCs w:val="22"/>
        </w:rPr>
        <w:t xml:space="preserve">This is a representative example of the drawdown driver identified in Section 5.4: an internal CHoCH taken without higher-timeframe confluence, inside a genuinely range-bound market, where structure breaks are inherently less reliable. It reinforces the Chapter 7 recommendation to formalise MTF-bias filtering as a hard entry condition rather than a discretionary check.</w:t>
      </w:r>
    </w:p>
    <w:p>
      <w:pPr>
        <w:pStyle w:val="Heading2"/>
        <w:spacing w:after="140" w:before="280"/>
      </w:pPr>
      <w:r>
        <w:rPr>
          <w:rFonts w:ascii="Cambria" w:cs="Cambria" w:eastAsia="Cambria" w:hAnsi="Cambria"/>
          <w:b/>
          <w:bCs/>
          <w:color w:val="1B2A4A"/>
          <w:sz w:val="26"/>
          <w:szCs w:val="26"/>
        </w:rPr>
        <w:t xml:space="preserve">Case Study 4 – Fair Value Gap Fill and Continuation</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69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Bias</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Buy</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Bullish FVG formed on the impulsive leg following an internal BOS</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Confirmation</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Price returned to fill roughly 50% of the gap before resuming the prior trend, consistent with the fvg_src = “Close” mitigation setting</w:t>
            </w:r>
          </w:p>
        </w:tc>
      </w:tr>
      <w:tr>
        <w:tc>
          <w:tcPr>
            <w:tcW w:type="dxa" w:w="24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Stop</w:t>
            </w:r>
          </w:p>
        </w:tc>
        <w:tc>
          <w:tcPr>
            <w:tcW w:type="dxa" w:w="69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Below the FVG's bottom boundary</w:t>
            </w:r>
          </w:p>
        </w:tc>
      </w:tr>
      <w:tr>
        <w:tc>
          <w:tcPr>
            <w:tcW w:type="dxa" w:w="2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Result</w:t>
            </w:r>
          </w:p>
        </w:tc>
        <w:tc>
          <w:tcPr>
            <w:tcW w:type="dxa" w:w="69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Win, +2.4R at the next structural level</w:t>
            </w:r>
          </w:p>
        </w:tc>
      </w:tr>
    </w:tbl>
    <w:p>
      <w:pPr>
        <w:spacing w:after="160" w:line="300"/>
        <w:jc w:val="both"/>
      </w:pPr>
      <w:r>
        <w:rPr>
          <w:rFonts w:ascii="Calibri" w:cs="Calibri" w:eastAsia="Calibri" w:hAnsi="Calibri"/>
          <w:color w:val="222222"/>
          <w:sz w:val="22"/>
          <w:szCs w:val="22"/>
        </w:rPr>
        <w:t xml:space="preserve">FVG-based entries were not separately isolated in the Table 5 statistics (they were used as a supporting confluence factor rather than a standalone signal in this iteration); Section 7.2 flags standalone FVG signal statistics as a concrete next step for the research pipeline.</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Chapter 7: Limitations and Future Enhancements</w:t>
      </w:r>
    </w:p>
    <w:p>
      <w:pPr>
        <w:pStyle w:val="Heading2"/>
        <w:spacing w:after="140" w:before="280"/>
      </w:pPr>
      <w:r>
        <w:rPr>
          <w:rFonts w:ascii="Cambria" w:cs="Cambria" w:eastAsia="Cambria" w:hAnsi="Cambria"/>
          <w:b/>
          <w:bCs/>
          <w:color w:val="1B2A4A"/>
          <w:sz w:val="26"/>
          <w:szCs w:val="26"/>
        </w:rPr>
        <w:t xml:space="preserve">7.1 Limitations</w:t>
      </w:r>
    </w:p>
    <w:p>
      <w:pPr>
        <w:pStyle w:val="ListParagraph"/>
        <w:numPr>
          <w:ilvl w:val="0"/>
          <w:numId w:val="2"/>
        </w:numPr>
        <w:spacing w:after="90" w:line="280"/>
      </w:pPr>
      <w:r>
        <w:rPr>
          <w:rFonts w:ascii="Calibri" w:cs="Calibri" w:eastAsia="Calibri" w:hAnsi="Calibri"/>
          <w:color w:val="222222"/>
          <w:sz w:val="22"/>
          <w:szCs w:val="22"/>
        </w:rPr>
        <w:t xml:space="preserve">Range-bound underperformance: consistent with Case Study 3, all structure-break-based signals (BOS/CHoCH) degrade in genuinely sideways markets, where pivots are frequent but directional follow-through is weak.</w:t>
      </w:r>
    </w:p>
    <w:p>
      <w:pPr>
        <w:pStyle w:val="ListParagraph"/>
        <w:numPr>
          <w:ilvl w:val="0"/>
          <w:numId w:val="2"/>
        </w:numPr>
        <w:spacing w:after="90" w:line="280"/>
      </w:pPr>
      <w:r>
        <w:rPr>
          <w:rFonts w:ascii="Calibri" w:cs="Calibri" w:eastAsia="Calibri" w:hAnsi="Calibri"/>
          <w:color w:val="222222"/>
          <w:sz w:val="22"/>
          <w:szCs w:val="22"/>
        </w:rPr>
        <w:t xml:space="preserve">No automated back-test engine: results in Chapter 5 come from manual chart-replay logging rather than a Pine Script strategy() back-test, introducing potential logging inconsistency and limiting sample size and repeatability.</w:t>
      </w:r>
    </w:p>
    <w:p>
      <w:pPr>
        <w:pStyle w:val="ListParagraph"/>
        <w:numPr>
          <w:ilvl w:val="0"/>
          <w:numId w:val="2"/>
        </w:numPr>
        <w:spacing w:after="90" w:line="280"/>
      </w:pPr>
      <w:r>
        <w:rPr>
          <w:rFonts w:ascii="Calibri" w:cs="Calibri" w:eastAsia="Calibri" w:hAnsi="Calibri"/>
          <w:color w:val="222222"/>
          <w:sz w:val="22"/>
          <w:szCs w:val="22"/>
        </w:rPr>
        <w:t xml:space="preserve">Single-asset, single-window evaluation: the sample back-test covers only BTCUSD over one 6-month window; no out-of-sample or multi-asset validation has yet been performed, so the positive expectancy in Section 5.3 should not be generalised without further testing.</w:t>
      </w:r>
    </w:p>
    <w:p>
      <w:pPr>
        <w:pStyle w:val="ListParagraph"/>
        <w:numPr>
          <w:ilvl w:val="0"/>
          <w:numId w:val="2"/>
        </w:numPr>
        <w:spacing w:after="90" w:line="280"/>
      </w:pPr>
      <w:r>
        <w:rPr>
          <w:rFonts w:ascii="Calibri" w:cs="Calibri" w:eastAsia="Calibri" w:hAnsi="Calibri"/>
          <w:color w:val="222222"/>
          <w:sz w:val="22"/>
          <w:szCs w:val="22"/>
        </w:rPr>
        <w:t xml:space="preserve">No transaction-cost or slippage modelling: profit factor and expectancy figures are computed on theoretical R-multiples and do not account for spread, commission, funding rates or slippage, all of which would reduce the reported edge in live conditions.</w:t>
      </w:r>
    </w:p>
    <w:p>
      <w:pPr>
        <w:pStyle w:val="ListParagraph"/>
        <w:numPr>
          <w:ilvl w:val="0"/>
          <w:numId w:val="2"/>
        </w:numPr>
        <w:spacing w:after="90" w:line="280"/>
      </w:pPr>
      <w:r>
        <w:rPr>
          <w:rFonts w:ascii="Calibri" w:cs="Calibri" w:eastAsia="Calibri" w:hAnsi="Calibri"/>
          <w:color w:val="222222"/>
          <w:sz w:val="22"/>
          <w:szCs w:val="22"/>
        </w:rPr>
        <w:t xml:space="preserve">MTF confluence not systematically enforced: the MTF structure scanner (Section 3.4) was used as a discretionary check rather than a hard filter in the Chapter 5 sample, meaning the reported statistics understate the potential edge of a fully confluence-filtered rule-set.</w:t>
      </w:r>
    </w:p>
    <w:p>
      <w:pPr>
        <w:pStyle w:val="ListParagraph"/>
        <w:numPr>
          <w:ilvl w:val="0"/>
          <w:numId w:val="2"/>
        </w:numPr>
        <w:spacing w:after="90" w:line="280"/>
      </w:pPr>
      <w:r>
        <w:rPr>
          <w:rFonts w:ascii="Calibri" w:cs="Calibri" w:eastAsia="Calibri" w:hAnsi="Calibri"/>
          <w:color w:val="222222"/>
          <w:sz w:val="22"/>
          <w:szCs w:val="22"/>
        </w:rPr>
        <w:t xml:space="preserve">Order block and FVG heuristics are geometry/volume proxies, not true order-flow data: without tick-level or footprint data, the “internal buy/sell activity” split (Section 3.5.2) is an approximation based on candle direction and position within the block, not verified aggressor-side volume.</w:t>
      </w:r>
    </w:p>
    <w:p>
      <w:pPr>
        <w:pStyle w:val="Heading2"/>
        <w:spacing w:after="140" w:before="280"/>
      </w:pPr>
      <w:r>
        <w:rPr>
          <w:rFonts w:ascii="Cambria" w:cs="Cambria" w:eastAsia="Cambria" w:hAnsi="Cambria"/>
          <w:b/>
          <w:bCs/>
          <w:color w:val="1B2A4A"/>
          <w:sz w:val="26"/>
          <w:szCs w:val="26"/>
        </w:rPr>
        <w:t xml:space="preserve">7.2 Future Enhancements</w:t>
      </w:r>
    </w:p>
    <w:p>
      <w:pPr>
        <w:pStyle w:val="ListParagraph"/>
        <w:numPr>
          <w:ilvl w:val="0"/>
          <w:numId w:val="3"/>
        </w:numPr>
        <w:spacing w:after="90" w:line="280"/>
      </w:pPr>
      <w:r>
        <w:rPr>
          <w:rFonts w:ascii="Calibri" w:cs="Calibri" w:eastAsia="Calibri" w:hAnsi="Calibri"/>
          <w:color w:val="222222"/>
          <w:sz w:val="22"/>
          <w:szCs w:val="22"/>
        </w:rPr>
        <w:t xml:space="preserve">Convert the indicator's alert conditions into a companion Pine Script strategy() script to enable TradingView's native, repeatable back-testing (Deep Backtesting) and eliminate manual chart-replay logging errors.</w:t>
      </w:r>
    </w:p>
    <w:p>
      <w:pPr>
        <w:pStyle w:val="ListParagraph"/>
        <w:numPr>
          <w:ilvl w:val="0"/>
          <w:numId w:val="3"/>
        </w:numPr>
        <w:spacing w:after="90" w:line="280"/>
      </w:pPr>
      <w:r>
        <w:rPr>
          <w:rFonts w:ascii="Calibri" w:cs="Calibri" w:eastAsia="Calibri" w:hAnsi="Calibri"/>
          <w:color w:val="222222"/>
          <w:sz w:val="22"/>
          <w:szCs w:val="22"/>
        </w:rPr>
        <w:t xml:space="preserve">Extend evaluation to multiple assets (e.g., ETHUSD, major FX pairs, index futures) and multiple non-overlapping time windows to test robustness and reduce over-fitting risk to a single regime.</w:t>
      </w:r>
    </w:p>
    <w:p>
      <w:pPr>
        <w:pStyle w:val="ListParagraph"/>
        <w:numPr>
          <w:ilvl w:val="0"/>
          <w:numId w:val="3"/>
        </w:numPr>
        <w:spacing w:after="90" w:line="280"/>
      </w:pPr>
      <w:r>
        <w:rPr>
          <w:rFonts w:ascii="Calibri" w:cs="Calibri" w:eastAsia="Calibri" w:hAnsi="Calibri"/>
          <w:color w:val="222222"/>
          <w:sz w:val="22"/>
          <w:szCs w:val="22"/>
        </w:rPr>
        <w:t xml:space="preserve">Systematically enforce MTF-bias confluence as a hard entry filter and re-run the Chapter 5 evaluation to quantify its marginal contribution to win rate and profit factor.</w:t>
      </w:r>
    </w:p>
    <w:p>
      <w:pPr>
        <w:pStyle w:val="ListParagraph"/>
        <w:numPr>
          <w:ilvl w:val="0"/>
          <w:numId w:val="3"/>
        </w:numPr>
        <w:spacing w:after="90" w:line="280"/>
      </w:pPr>
      <w:r>
        <w:rPr>
          <w:rFonts w:ascii="Calibri" w:cs="Calibri" w:eastAsia="Calibri" w:hAnsi="Calibri"/>
          <w:color w:val="222222"/>
          <w:sz w:val="22"/>
          <w:szCs w:val="22"/>
        </w:rPr>
        <w:t xml:space="preserve">Isolate Fair Value Gap and Equal-High/Low signals as standalone, individually back-tested signal groups rather than supporting confluence factors.</w:t>
      </w:r>
    </w:p>
    <w:p>
      <w:pPr>
        <w:pStyle w:val="ListParagraph"/>
        <w:numPr>
          <w:ilvl w:val="0"/>
          <w:numId w:val="3"/>
        </w:numPr>
        <w:spacing w:after="90" w:line="280"/>
      </w:pPr>
      <w:r>
        <w:rPr>
          <w:rFonts w:ascii="Calibri" w:cs="Calibri" w:eastAsia="Calibri" w:hAnsi="Calibri"/>
          <w:color w:val="222222"/>
          <w:sz w:val="22"/>
          <w:szCs w:val="22"/>
        </w:rPr>
        <w:t xml:space="preserve">Integrate transaction-cost and slippage modelling into the evaluation framework to produce net-of-cost expectancy figures.</w:t>
      </w:r>
    </w:p>
    <w:p>
      <w:pPr>
        <w:pStyle w:val="ListParagraph"/>
        <w:numPr>
          <w:ilvl w:val="0"/>
          <w:numId w:val="3"/>
        </w:numPr>
        <w:spacing w:after="90" w:line="280"/>
      </w:pPr>
      <w:r>
        <w:rPr>
          <w:rFonts w:ascii="Calibri" w:cs="Calibri" w:eastAsia="Calibri" w:hAnsi="Calibri"/>
          <w:color w:val="222222"/>
          <w:sz w:val="22"/>
          <w:szCs w:val="22"/>
        </w:rPr>
        <w:t xml:space="preserve">Automate execution via TradingView alert → webhook → exchange API (e.g., Binance/broker REST API) for selected high-conviction signal types (CHoCH+, Order Block reaction), building on the alertcondition() hooks already implemented in Section 4.3.</w:t>
      </w:r>
    </w:p>
    <w:p>
      <w:pPr>
        <w:pStyle w:val="ListParagraph"/>
        <w:numPr>
          <w:ilvl w:val="0"/>
          <w:numId w:val="3"/>
        </w:numPr>
        <w:spacing w:after="90" w:line="280"/>
      </w:pPr>
      <w:r>
        <w:rPr>
          <w:rFonts w:ascii="Calibri" w:cs="Calibri" w:eastAsia="Calibri" w:hAnsi="Calibri"/>
          <w:color w:val="222222"/>
          <w:sz w:val="22"/>
          <w:szCs w:val="22"/>
        </w:rPr>
        <w:t xml:space="preserve">Explore machine-learning-assisted signal filtering (e.g., a gradient-boosted classifier or LSTM taking indicator-derived features as input) to predict which BOS/CHoCH events are likely to sustain versus fail, as a research extension beyond the current rule-based-only approach.</w:t>
      </w:r>
    </w:p>
    <w:p>
      <w:pPr>
        <w:pStyle w:val="ListParagraph"/>
        <w:numPr>
          <w:ilvl w:val="0"/>
          <w:numId w:val="3"/>
        </w:numPr>
        <w:spacing w:after="90" w:line="280"/>
      </w:pPr>
      <w:r>
        <w:rPr>
          <w:rFonts w:ascii="Calibri" w:cs="Calibri" w:eastAsia="Calibri" w:hAnsi="Calibri"/>
          <w:color w:val="222222"/>
          <w:sz w:val="22"/>
          <w:szCs w:val="22"/>
        </w:rPr>
        <w:t xml:space="preserve">Build a lightweight research dashboard aggregating alert history and computing rolling profit factor / expectancy automatically, reducing the manual-logging burden identified as a limitation above.</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Conclusion</w:t>
      </w:r>
    </w:p>
    <w:p>
      <w:pPr>
        <w:spacing w:after="160" w:line="300"/>
        <w:jc w:val="both"/>
      </w:pPr>
      <w:r>
        <w:rPr>
          <w:rFonts w:ascii="Calibri" w:cs="Calibri" w:eastAsia="Calibri" w:hAnsi="Calibri"/>
          <w:color w:val="222222"/>
          <w:sz w:val="22"/>
          <w:szCs w:val="22"/>
        </w:rPr>
        <w:t xml:space="preserve">This internship project set out to translate discretionary price-action and smart-money concepts into a single, deterministic, production-quality Pine Script v5 indicator, and to subject the resulting signals to the same standard of quantitative scrutiny a quant desk would apply to any new alpha source. “Aryan – Price Action” achieves the first goal by formalising market structure (BOS/CHoCH/CHoCH+ across both internal and swing lookbacks), volumetric order blocks, three Fair Value Gap variants, Wyckoff-style Accumulation/Distribution zones, Premium/Discount/Equilibrium framing and Equal-High/Low liquidity mapping into a single internally-consistent, alert-enabled tool.</w:t>
      </w:r>
    </w:p>
    <w:p>
      <w:pPr>
        <w:spacing w:after="160" w:line="300"/>
        <w:jc w:val="both"/>
      </w:pPr>
      <w:r>
        <w:rPr>
          <w:rFonts w:ascii="Calibri" w:cs="Calibri" w:eastAsia="Calibri" w:hAnsi="Calibri"/>
          <w:color w:val="222222"/>
          <w:sz w:val="22"/>
          <w:szCs w:val="22"/>
        </w:rPr>
        <w:t xml:space="preserve">On the second goal, the sample back-test presented in Chapter 5 offers an encouraging, if preliminary, result: a combined win rate of 58%, a profit factor of 1.66, and a positive expectancy of +0.69R per trade across 263 sampled signals on BTCUSD, with a contained maximum drawdown of 8.6%. The strongest-performing components — CHoCH+ and swing-level signals — validate the extra rule complexity introduced to distinguish high-conviction reversals from routine structure breaks. At the same time, the limitations documented in Chapter 7 — particularly the reliance on manual back-testing, single-asset/single-window evaluation, and the absence of transaction-cost modelling — mean these results should be read as a promising first research iteration rather than a validated trading edge.</w:t>
      </w:r>
    </w:p>
    <w:p>
      <w:pPr>
        <w:spacing w:after="160" w:line="300"/>
        <w:jc w:val="both"/>
      </w:pPr>
      <w:r>
        <w:rPr>
          <w:rFonts w:ascii="Calibri" w:cs="Calibri" w:eastAsia="Calibri" w:hAnsi="Calibri"/>
          <w:color w:val="222222"/>
          <w:sz w:val="22"/>
          <w:szCs w:val="22"/>
        </w:rPr>
        <w:t xml:space="preserve">As a deliverable for the Quant Research Internship at 2Cent Capital, this report and the accompanying Pine Script source (submitted to the project's GitHub repository) together demonstrate the full workflow expected of the Indicator Development &amp; Quantitative Research track: concept formalisation, rule-based implementation, empirical testing, and honest documentation of both edge and limitation, with a concrete roadmap for the automated, multi-asset research pipeline that would be the natural next phase of this work.</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References &amp; Bibliography</w:t>
      </w:r>
    </w:p>
    <w:p>
      <w:pPr>
        <w:pStyle w:val="ListParagraph"/>
        <w:numPr>
          <w:ilvl w:val="0"/>
          <w:numId w:val="3"/>
        </w:numPr>
        <w:spacing w:after="90" w:line="280"/>
      </w:pPr>
      <w:r>
        <w:rPr>
          <w:rFonts w:ascii="Calibri" w:cs="Calibri" w:eastAsia="Calibri" w:hAnsi="Calibri"/>
          <w:color w:val="222222"/>
          <w:sz w:val="22"/>
          <w:szCs w:val="22"/>
        </w:rPr>
        <w:t xml:space="preserve">Holmberg, U., Lönnbark, C., &amp; Lundström, C. (2013). Assessing the Profitability of Intraday Opening Range Breakout Strategies. Umeå University, Department of Economics.</w:t>
      </w:r>
    </w:p>
    <w:p>
      <w:pPr>
        <w:pStyle w:val="ListParagraph"/>
        <w:numPr>
          <w:ilvl w:val="0"/>
          <w:numId w:val="3"/>
        </w:numPr>
        <w:spacing w:after="90" w:line="280"/>
      </w:pPr>
      <w:r>
        <w:rPr>
          <w:rFonts w:ascii="Calibri" w:cs="Calibri" w:eastAsia="Calibri" w:hAnsi="Calibri"/>
          <w:color w:val="222222"/>
          <w:sz w:val="22"/>
          <w:szCs w:val="22"/>
        </w:rPr>
        <w:t xml:space="preserve">Zarattini, A., &amp; Aziz, S. (2023). Can Day Trading Really Be Profitable? Evidence from Opening Range Breakout Strategies. SSRN Electronic Journal.</w:t>
      </w:r>
    </w:p>
    <w:p>
      <w:pPr>
        <w:pStyle w:val="ListParagraph"/>
        <w:numPr>
          <w:ilvl w:val="0"/>
          <w:numId w:val="3"/>
        </w:numPr>
        <w:spacing w:after="90" w:line="280"/>
      </w:pPr>
      <w:r>
        <w:rPr>
          <w:rFonts w:ascii="Calibri" w:cs="Calibri" w:eastAsia="Calibri" w:hAnsi="Calibri"/>
          <w:color w:val="222222"/>
          <w:sz w:val="22"/>
          <w:szCs w:val="22"/>
        </w:rPr>
        <w:t xml:space="preserve">Eross, A., McGroarty, F., Urquhart, A., &amp; Wolfe, S. (2019). The Intraday Dynamics of Bitcoin. Research in International Business and Finance.</w:t>
      </w:r>
    </w:p>
    <w:p>
      <w:pPr>
        <w:pStyle w:val="ListParagraph"/>
        <w:numPr>
          <w:ilvl w:val="0"/>
          <w:numId w:val="3"/>
        </w:numPr>
        <w:spacing w:after="90" w:line="280"/>
      </w:pPr>
      <w:r>
        <w:rPr>
          <w:rFonts w:ascii="Calibri" w:cs="Calibri" w:eastAsia="Calibri" w:hAnsi="Calibri"/>
          <w:color w:val="222222"/>
          <w:sz w:val="22"/>
          <w:szCs w:val="22"/>
        </w:rPr>
        <w:t xml:space="preserve">Gkillas, K., &amp; Katsiampa, P. (2021). Volatility Clustering in Cryptocurrency Price Returns. MDPI – Journal of Risk and Financial Management.</w:t>
      </w:r>
    </w:p>
    <w:p>
      <w:pPr>
        <w:pStyle w:val="ListParagraph"/>
        <w:numPr>
          <w:ilvl w:val="0"/>
          <w:numId w:val="3"/>
        </w:numPr>
        <w:spacing w:after="90" w:line="280"/>
      </w:pPr>
      <w:r>
        <w:rPr>
          <w:rFonts w:ascii="Calibri" w:cs="Calibri" w:eastAsia="Calibri" w:hAnsi="Calibri"/>
          <w:color w:val="222222"/>
          <w:sz w:val="22"/>
          <w:szCs w:val="22"/>
        </w:rPr>
        <w:t xml:space="preserve">Wyckoff, R. D. (1931). The Richard D. Wyckoff Method of Trading and Investing in Stocks. Wyckoff Associates (foundational reference for Accumulation/Distribution phase theory).</w:t>
      </w:r>
    </w:p>
    <w:p>
      <w:pPr>
        <w:pStyle w:val="ListParagraph"/>
        <w:numPr>
          <w:ilvl w:val="0"/>
          <w:numId w:val="3"/>
        </w:numPr>
        <w:spacing w:after="90" w:line="280"/>
      </w:pPr>
      <w:r>
        <w:rPr>
          <w:rFonts w:ascii="Calibri" w:cs="Calibri" w:eastAsia="Calibri" w:hAnsi="Calibri"/>
          <w:color w:val="222222"/>
          <w:sz w:val="22"/>
          <w:szCs w:val="22"/>
        </w:rPr>
        <w:t xml:space="preserve">Dow, C. H. (1900–1902). Original editorials on stock market movement, The Wall Street Journal (foundational reference for classical market-structure / trend theory).</w:t>
      </w:r>
    </w:p>
    <w:p>
      <w:pPr>
        <w:pStyle w:val="ListParagraph"/>
        <w:numPr>
          <w:ilvl w:val="0"/>
          <w:numId w:val="3"/>
        </w:numPr>
        <w:spacing w:after="90" w:line="280"/>
      </w:pPr>
      <w:r>
        <w:rPr>
          <w:rFonts w:ascii="Calibri" w:cs="Calibri" w:eastAsia="Calibri" w:hAnsi="Calibri"/>
          <w:color w:val="222222"/>
          <w:sz w:val="22"/>
          <w:szCs w:val="22"/>
        </w:rPr>
        <w:t xml:space="preserve">TradingView Pine Script v5 Language Reference Manual. TradingView Inc. Official technical documentation for user-defined types, request.security(), and drawing-object APIs used throughout the implementation.</w:t>
      </w:r>
    </w:p>
    <w:p>
      <w:pPr>
        <w:pStyle w:val="ListParagraph"/>
        <w:numPr>
          <w:ilvl w:val="0"/>
          <w:numId w:val="3"/>
        </w:numPr>
        <w:spacing w:after="90" w:line="280"/>
      </w:pPr>
      <w:r>
        <w:rPr>
          <w:rFonts w:ascii="Calibri" w:cs="Calibri" w:eastAsia="Calibri" w:hAnsi="Calibri"/>
          <w:color w:val="222222"/>
          <w:sz w:val="22"/>
          <w:szCs w:val="22"/>
        </w:rPr>
        <w:t xml:space="preserve">Patel, Aryan (2026). Aryan – Price Action: Pine Script v5 Source Code and Internal Design Notes. 2Cent Capital Internship Project, GitHub repository (unpublished internal technical artefact accompanying this report).</w:t>
      </w:r>
    </w:p>
    <w:p>
      <w:pPr>
        <w:pStyle w:val="ListParagraph"/>
        <w:numPr>
          <w:ilvl w:val="0"/>
          <w:numId w:val="3"/>
        </w:numPr>
        <w:spacing w:after="90" w:line="280"/>
      </w:pPr>
      <w:r>
        <w:rPr>
          <w:rFonts w:ascii="Calibri" w:cs="Calibri" w:eastAsia="Calibri" w:hAnsi="Calibri"/>
          <w:color w:val="222222"/>
          <w:sz w:val="22"/>
          <w:szCs w:val="22"/>
        </w:rPr>
        <w:t xml:space="preserve">Patel, Aryan (2025). Bitcoin Range Theory – Prior Independent Research on Level-Based Intraday Strategy Design. Unpublished internal research note, referenced here for methodological continuity in sample back-testing conventions.</w:t>
      </w:r>
    </w:p>
    <w:p>
      <w:r>
        <w:br w:type="page"/>
      </w:r>
    </w:p>
    <w:p>
      <w:pPr>
        <w:pStyle w:val="Heading1"/>
        <w:pBdr>
          <w:bottom w:val="single" w:color="B8862E" w:sz="8" w:space="4"/>
        </w:pBdr>
        <w:spacing w:after="200" w:before="360"/>
      </w:pPr>
      <w:r>
        <w:rPr>
          <w:rFonts w:ascii="Cambria" w:cs="Cambria" w:eastAsia="Cambria" w:hAnsi="Cambria"/>
          <w:b/>
          <w:bCs/>
          <w:color w:val="1B2A4A"/>
          <w:sz w:val="32"/>
          <w:szCs w:val="32"/>
        </w:rPr>
        <w:t xml:space="preserve">Appendix A: Source Code Reference Map</w:t>
      </w:r>
    </w:p>
    <w:p>
      <w:pPr>
        <w:spacing w:after="160" w:line="300"/>
        <w:jc w:val="both"/>
      </w:pPr>
      <w:r>
        <w:rPr>
          <w:rFonts w:ascii="Calibri" w:cs="Calibri" w:eastAsia="Calibri" w:hAnsi="Calibri"/>
          <w:color w:val="222222"/>
          <w:sz w:val="22"/>
          <w:szCs w:val="22"/>
        </w:rPr>
        <w:t xml:space="preserve">The full, unmodified Pine Script v5 source (~900 lines) accompanies this report in the project GitHub repository as Aryan_Price_Action.pine. The table below maps each report chapter to its corresponding code region for audit purposes.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4200"/>
        <w:gridCol w:w="5150"/>
      </w:tblGrid>
      <w:tr>
        <w:trPr>
          <w:tblHeader/>
        </w:trPr>
        <w:tc>
          <w:tcPr>
            <w:tcW w:type="dxa" w:w="420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Report Section</w:t>
            </w:r>
          </w:p>
        </w:tc>
        <w:tc>
          <w:tcPr>
            <w:tcW w:type="dxa" w:w="5150"/>
            <w:shd w:fill="1B2A4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 Region</w:t>
            </w:r>
          </w:p>
        </w:tc>
      </w:tr>
      <w:tr>
        <w:tc>
          <w:tcPr>
            <w:tcW w:type="dxa" w:w="4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3.1 – 3.4 Market Structure, BOS, CHoCH, MTF Scanner</w:t>
            </w:r>
          </w:p>
        </w:tc>
        <w:tc>
          <w:tcPr>
            <w:tcW w:type="dxa" w:w="5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structure() function; boolean array; itrend/trend state; request.security() MTF calls; show_mtf_str table block</w:t>
            </w:r>
          </w:p>
        </w:tc>
      </w:tr>
      <w:tr>
        <w:tc>
          <w:tcPr>
            <w:tcW w:type="dxa" w:w="4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3.5 Volumetric Order Blocks</w:t>
            </w:r>
          </w:p>
        </w:tc>
        <w:tc>
          <w:tcPr>
            <w:tcW w:type="dxa" w:w="5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drawVOB() method; obC / obD user-defined types; ob_* input group</w:t>
            </w:r>
          </w:p>
        </w:tc>
      </w:tr>
      <w:tr>
        <w:tc>
          <w:tcPr>
            <w:tcW w:type="dxa" w:w="4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3.6 Fair Value Gap / VI / OG</w:t>
            </w:r>
          </w:p>
        </w:tc>
        <w:tc>
          <w:tcPr>
            <w:tcW w:type="dxa" w:w="5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cG() function; FVG user-defined type; fvg_* input group</w:t>
            </w:r>
          </w:p>
        </w:tc>
      </w:tr>
      <w:tr>
        <w:tc>
          <w:tcPr>
            <w:tcW w:type="dxa" w:w="4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3.7 Accumulation &amp; Distribution</w:t>
            </w:r>
          </w:p>
        </w:tc>
        <w:tc>
          <w:tcPr>
            <w:tcW w:type="dxa" w:w="5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drawZone() function; zone / pattern user-defined types</w:t>
            </w:r>
          </w:p>
        </w:tc>
      </w:tr>
      <w:tr>
        <w:tc>
          <w:tcPr>
            <w:tcW w:type="dxa" w:w="4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3.8 Premium / Discount / Equilibrium</w:t>
            </w:r>
          </w:p>
        </w:tc>
        <w:tc>
          <w:tcPr>
            <w:tcW w:type="dxa" w:w="5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upphl(), dnphl(), midphl(), hqlzone() functions; Zphl / hqlzone types</w:t>
            </w:r>
          </w:p>
        </w:tc>
      </w:tr>
      <w:tr>
        <w:tc>
          <w:tcPr>
            <w:tcW w:type="dxa" w:w="4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3.9 Equal Highs / Equal Lows</w:t>
            </w:r>
          </w:p>
        </w:tc>
        <w:tc>
          <w:tcPr>
            <w:tcW w:type="dxa" w:w="5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dEHL() function; ehl user-defined type</w:t>
            </w:r>
          </w:p>
        </w:tc>
      </w:tr>
      <w:tr>
        <w:tc>
          <w:tcPr>
            <w:tcW w:type="dxa" w:w="4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4.3 Alerting</w:t>
            </w:r>
          </w:p>
        </w:tc>
        <w:tc>
          <w:tcPr>
            <w:tcW w:type="dxa" w:w="5150"/>
            <w:shd w:fill="FFFFFF"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alerts user-defined type; 24 alertcondition() calls at end of script</w:t>
            </w:r>
          </w:p>
        </w:tc>
      </w:tr>
      <w:tr>
        <w:tc>
          <w:tcPr>
            <w:tcW w:type="dxa" w:w="4200"/>
            <w:shd w:fill="EFEF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4.4 Computational limits</w:t>
            </w:r>
          </w:p>
        </w:tc>
        <w:tc>
          <w:tcPr>
            <w:tcW w:type="dxa" w:w="5150"/>
            <w:shd w:fill="EFEFF2" w:color="auto"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20"/>
                <w:szCs w:val="20"/>
              </w:rPr>
              <w:t xml:space="preserve">indicator() declaration parameters (max_lines_count, max_boxes_count, etc.)</w:t>
            </w:r>
          </w:p>
        </w:tc>
      </w:tr>
    </w:tbl>
    <w:p>
      <w:pPr>
        <w:spacing w:after="200"/>
      </w:pPr>
    </w:p>
    <w:p>
      <w:pPr>
        <w:pStyle w:val="Heading1"/>
        <w:pBdr>
          <w:bottom w:val="single" w:color="B8862E" w:sz="8" w:space="4"/>
        </w:pBdr>
        <w:spacing w:after="200" w:before="360"/>
      </w:pPr>
      <w:r>
        <w:rPr>
          <w:rFonts w:ascii="Cambria" w:cs="Cambria" w:eastAsia="Cambria" w:hAnsi="Cambria"/>
          <w:b/>
          <w:bCs/>
          <w:color w:val="1B2A4A"/>
          <w:sz w:val="32"/>
          <w:szCs w:val="32"/>
        </w:rPr>
        <w:t xml:space="preserve">Appendix B: Glossary of Terms</w:t>
      </w:r>
    </w:p>
    <w:p>
      <w:pPr>
        <w:pStyle w:val="ListParagraph"/>
        <w:numPr>
          <w:ilvl w:val="0"/>
          <w:numId w:val="2"/>
        </w:numPr>
        <w:spacing w:after="90" w:line="280"/>
      </w:pPr>
      <w:r>
        <w:rPr>
          <w:rFonts w:ascii="Calibri" w:cs="Calibri" w:eastAsia="Calibri" w:hAnsi="Calibri"/>
          <w:color w:val="222222"/>
          <w:sz w:val="22"/>
          <w:szCs w:val="22"/>
        </w:rPr>
        <w:t xml:space="preserve">BOS (Break of Structure): a close beyond the most recent swing point in the direction of the prevailing trend, signalling continuation.</w:t>
      </w:r>
    </w:p>
    <w:p>
      <w:pPr>
        <w:pStyle w:val="ListParagraph"/>
        <w:numPr>
          <w:ilvl w:val="0"/>
          <w:numId w:val="2"/>
        </w:numPr>
        <w:spacing w:after="90" w:line="280"/>
      </w:pPr>
      <w:r>
        <w:rPr>
          <w:rFonts w:ascii="Calibri" w:cs="Calibri" w:eastAsia="Calibri" w:hAnsi="Calibri"/>
          <w:color w:val="222222"/>
          <w:sz w:val="22"/>
          <w:szCs w:val="22"/>
        </w:rPr>
        <w:t xml:space="preserve">CHoCH (Change of Character): the first structural break against the prevailing trend, signalling a possible reversal.</w:t>
      </w:r>
    </w:p>
    <w:p>
      <w:pPr>
        <w:pStyle w:val="ListParagraph"/>
        <w:numPr>
          <w:ilvl w:val="0"/>
          <w:numId w:val="2"/>
        </w:numPr>
        <w:spacing w:after="90" w:line="280"/>
      </w:pPr>
      <w:r>
        <w:rPr>
          <w:rFonts w:ascii="Calibri" w:cs="Calibri" w:eastAsia="Calibri" w:hAnsi="Calibri"/>
          <w:color w:val="222222"/>
          <w:sz w:val="22"/>
          <w:szCs w:val="22"/>
        </w:rPr>
        <w:t xml:space="preserve">CHoCH+: a CHoCH accompanied by confirmation of a higher-low (bullish) or lower-high (bearish), indicating a stronger reversal.</w:t>
      </w:r>
    </w:p>
    <w:p>
      <w:pPr>
        <w:pStyle w:val="ListParagraph"/>
        <w:numPr>
          <w:ilvl w:val="0"/>
          <w:numId w:val="2"/>
        </w:numPr>
        <w:spacing w:after="90" w:line="280"/>
      </w:pPr>
      <w:r>
        <w:rPr>
          <w:rFonts w:ascii="Calibri" w:cs="Calibri" w:eastAsia="Calibri" w:hAnsi="Calibri"/>
          <w:color w:val="222222"/>
          <w:sz w:val="22"/>
          <w:szCs w:val="22"/>
        </w:rPr>
        <w:t xml:space="preserve">Order Block: the last opposing candle before an impulsive structural move, treated as a footprint of institutional order flow.</w:t>
      </w:r>
    </w:p>
    <w:p>
      <w:pPr>
        <w:pStyle w:val="ListParagraph"/>
        <w:numPr>
          <w:ilvl w:val="0"/>
          <w:numId w:val="2"/>
        </w:numPr>
        <w:spacing w:after="90" w:line="280"/>
      </w:pPr>
      <w:r>
        <w:rPr>
          <w:rFonts w:ascii="Calibri" w:cs="Calibri" w:eastAsia="Calibri" w:hAnsi="Calibri"/>
          <w:color w:val="222222"/>
          <w:sz w:val="22"/>
          <w:szCs w:val="22"/>
        </w:rPr>
        <w:t xml:space="preserve">Fair Value Gap (FVG): a three-candle price imbalance left behind by fast, one-directional price delivery.</w:t>
      </w:r>
    </w:p>
    <w:p>
      <w:pPr>
        <w:pStyle w:val="ListParagraph"/>
        <w:numPr>
          <w:ilvl w:val="0"/>
          <w:numId w:val="2"/>
        </w:numPr>
        <w:spacing w:after="90" w:line="280"/>
      </w:pPr>
      <w:r>
        <w:rPr>
          <w:rFonts w:ascii="Calibri" w:cs="Calibri" w:eastAsia="Calibri" w:hAnsi="Calibri"/>
          <w:color w:val="222222"/>
          <w:sz w:val="22"/>
          <w:szCs w:val="22"/>
        </w:rPr>
        <w:t xml:space="preserve">Mitigation: the invalidation/removal of a drawn zone (order block or FVG) once price trades back through it.</w:t>
      </w:r>
    </w:p>
    <w:p>
      <w:pPr>
        <w:pStyle w:val="ListParagraph"/>
        <w:numPr>
          <w:ilvl w:val="0"/>
          <w:numId w:val="2"/>
        </w:numPr>
        <w:spacing w:after="90" w:line="280"/>
      </w:pPr>
      <w:r>
        <w:rPr>
          <w:rFonts w:ascii="Calibri" w:cs="Calibri" w:eastAsia="Calibri" w:hAnsi="Calibri"/>
          <w:color w:val="222222"/>
          <w:sz w:val="22"/>
          <w:szCs w:val="22"/>
        </w:rPr>
        <w:t xml:space="preserve">Equilibrium: the 50% midpoint of the current dealing range between the most recent strong swing high and low.</w:t>
      </w:r>
    </w:p>
    <w:p>
      <w:pPr>
        <w:pStyle w:val="ListParagraph"/>
        <w:numPr>
          <w:ilvl w:val="0"/>
          <w:numId w:val="2"/>
        </w:numPr>
        <w:spacing w:after="90" w:line="280"/>
      </w:pPr>
      <w:r>
        <w:rPr>
          <w:rFonts w:ascii="Calibri" w:cs="Calibri" w:eastAsia="Calibri" w:hAnsi="Calibri"/>
          <w:color w:val="222222"/>
          <w:sz w:val="22"/>
          <w:szCs w:val="22"/>
        </w:rPr>
        <w:t xml:space="preserve">R-multiple: trade profit or loss expressed as a multiple of the initial risk (distance from entry to stop).</w:t>
      </w:r>
    </w:p>
    <w:p>
      <w:pPr>
        <w:pStyle w:val="ListParagraph"/>
        <w:numPr>
          <w:ilvl w:val="0"/>
          <w:numId w:val="2"/>
        </w:numPr>
        <w:spacing w:after="90" w:line="280"/>
      </w:pPr>
      <w:r>
        <w:rPr>
          <w:rFonts w:ascii="Calibri" w:cs="Calibri" w:eastAsia="Calibri" w:hAnsi="Calibri"/>
          <w:color w:val="222222"/>
          <w:sz w:val="22"/>
          <w:szCs w:val="22"/>
        </w:rPr>
        <w:t xml:space="preserve">Profit Factor: gross profit divided by the absolute value of gross loss across a sample of trades.</w:t>
      </w:r>
    </w:p>
    <w:p>
      <w:pPr>
        <w:pStyle w:val="ListParagraph"/>
        <w:numPr>
          <w:ilvl w:val="0"/>
          <w:numId w:val="2"/>
        </w:numPr>
        <w:spacing w:after="90" w:line="280"/>
      </w:pPr>
      <w:r>
        <w:rPr>
          <w:rFonts w:ascii="Calibri" w:cs="Calibri" w:eastAsia="Calibri" w:hAnsi="Calibri"/>
          <w:color w:val="222222"/>
          <w:sz w:val="22"/>
          <w:szCs w:val="22"/>
        </w:rPr>
        <w:t xml:space="preserve">Expectancy: the average R-multiple return per trade, combining win rate and average win/loss size.</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44506B"/>
        <w:sz w:val="16"/>
        <w:szCs w:val="16"/>
      </w:rPr>
      <w:t xml:space="preserve">Page </w:t>
    </w:r>
    <w:r>
      <w:rPr>
        <w:rFonts w:ascii="Calibri" w:cs="Calibri" w:eastAsia="Calibri" w:hAnsi="Calibri"/>
        <w:color w:val="44506B"/>
        <w:sz w:val="16"/>
        <w:szCs w:val="16"/>
      </w:rPr>
      <w:fldChar w:fldCharType="begin"/>
      <w:instrText xml:space="preserve">PAGE</w:instrText>
      <w:fldChar w:fldCharType="separate"/>
      <w:fldChar w:fldCharType="end"/>
    </w:r>
    <w:r>
      <w:rPr>
        <w:rFonts w:ascii="Calibri" w:cs="Calibri" w:eastAsia="Calibri" w:hAnsi="Calibri"/>
        <w:color w:val="44506B"/>
        <w:sz w:val="16"/>
        <w:szCs w:val="16"/>
      </w:rPr>
      <w:t xml:space="preserve"> of </w:t>
    </w:r>
    <w:r>
      <w:rPr>
        <w:rFonts w:ascii="Calibri" w:cs="Calibri" w:eastAsia="Calibri" w:hAnsi="Calibri"/>
        <w:color w:val="44506B"/>
        <w:sz w:val="16"/>
        <w:szCs w:val="16"/>
      </w:rPr>
      <w:fldChar w:fldCharType="begin"/>
      <w:instrText xml:space="preserve">NUMPAGES</w:instrText>
      <w:fldChar w:fldCharType="separate"/>
      <w:fldChar w:fldCharType="end"/>
    </w:r>
    <w:r>
      <w:rPr>
        <w:rFonts w:ascii="Calibri" w:cs="Calibri" w:eastAsia="Calibri" w:hAnsi="Calibri"/>
        <w:color w:val="44506B"/>
        <w:sz w:val="16"/>
        <w:szCs w:val="16"/>
      </w:rPr>
      <w:t xml:space="preserve">   |   Confidential – Internship Portfolio Document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44506B"/>
        <w:sz w:val="16"/>
        <w:szCs w:val="16"/>
      </w:rPr>
      <w:t xml:space="preserve">Page </w:t>
    </w:r>
    <w:r>
      <w:rPr>
        <w:rFonts w:ascii="Calibri" w:cs="Calibri" w:eastAsia="Calibri" w:hAnsi="Calibri"/>
        <w:color w:val="44506B"/>
        <w:sz w:val="16"/>
        <w:szCs w:val="16"/>
      </w:rPr>
      <w:fldChar w:fldCharType="begin"/>
      <w:instrText xml:space="preserve">PAGE</w:instrText>
      <w:fldChar w:fldCharType="separate"/>
      <w:fldChar w:fldCharType="end"/>
    </w:r>
    <w:r>
      <w:rPr>
        <w:rFonts w:ascii="Calibri" w:cs="Calibri" w:eastAsia="Calibri" w:hAnsi="Calibri"/>
        <w:color w:val="44506B"/>
        <w:sz w:val="16"/>
        <w:szCs w:val="16"/>
      </w:rPr>
      <w:t xml:space="preserve"> of </w:t>
    </w:r>
    <w:r>
      <w:rPr>
        <w:rFonts w:ascii="Calibri" w:cs="Calibri" w:eastAsia="Calibri" w:hAnsi="Calibri"/>
        <w:color w:val="44506B"/>
        <w:sz w:val="16"/>
        <w:szCs w:val="16"/>
      </w:rPr>
      <w:fldChar w:fldCharType="begin"/>
      <w:instrText xml:space="preserve">NUMPAGES</w:instrText>
      <w:fldChar w:fldCharType="separate"/>
      <w:fldChar w:fldCharType="end"/>
    </w:r>
    <w:r>
      <w:rPr>
        <w:rFonts w:ascii="Calibri" w:cs="Calibri" w:eastAsia="Calibri" w:hAnsi="Calibri"/>
        <w:color w:val="44506B"/>
        <w:sz w:val="16"/>
        <w:szCs w:val="16"/>
      </w:rPr>
      <w:t xml:space="preserve">   |   Confidential – Internship Portfolio Document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44506B"/>
        <w:sz w:val="16"/>
        <w:szCs w:val="16"/>
      </w:rPr>
      <w:t xml:space="preserve">Page </w:t>
    </w:r>
    <w:r>
      <w:rPr>
        <w:rFonts w:ascii="Calibri" w:cs="Calibri" w:eastAsia="Calibri" w:hAnsi="Calibri"/>
        <w:color w:val="44506B"/>
        <w:sz w:val="16"/>
        <w:szCs w:val="16"/>
      </w:rPr>
      <w:fldChar w:fldCharType="begin"/>
      <w:instrText xml:space="preserve">PAGE</w:instrText>
      <w:fldChar w:fldCharType="separate"/>
      <w:fldChar w:fldCharType="end"/>
    </w:r>
    <w:r>
      <w:rPr>
        <w:rFonts w:ascii="Calibri" w:cs="Calibri" w:eastAsia="Calibri" w:hAnsi="Calibri"/>
        <w:color w:val="44506B"/>
        <w:sz w:val="16"/>
        <w:szCs w:val="16"/>
      </w:rPr>
      <w:t xml:space="preserve"> of </w:t>
    </w:r>
    <w:r>
      <w:rPr>
        <w:rFonts w:ascii="Calibri" w:cs="Calibri" w:eastAsia="Calibri" w:hAnsi="Calibri"/>
        <w:color w:val="44506B"/>
        <w:sz w:val="16"/>
        <w:szCs w:val="16"/>
      </w:rPr>
      <w:fldChar w:fldCharType="begin"/>
      <w:instrText xml:space="preserve">NUMPAGES</w:instrText>
      <w:fldChar w:fldCharType="separate"/>
      <w:fldChar w:fldCharType="end"/>
    </w:r>
    <w:r>
      <w:rPr>
        <w:rFonts w:ascii="Calibri" w:cs="Calibri" w:eastAsia="Calibri" w:hAnsi="Calibri"/>
        <w:color w:val="44506B"/>
        <w:sz w:val="16"/>
        <w:szCs w:val="16"/>
      </w:rPr>
      <w:t xml:space="preserve">   |   Confidential – Internship Portfolio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44506B"/>
        <w:sz w:val="16"/>
        <w:szCs w:val="16"/>
      </w:rPr>
      <w:t xml:space="preserve">2Cent Capital – Quant Research Internship</w:t>
    </w:r>
    <w:r>
      <w:rPr>
        <w:rFonts w:ascii="Calibri" w:cs="Calibri" w:eastAsia="Calibri" w:hAnsi="Calibri"/>
        <w:i/>
        <w:iCs/>
        <w:color w:val="44506B"/>
        <w:sz w:val="16"/>
        <w:szCs w:val="16"/>
      </w:rPr>
      <w:t xml:space="preserve">	Aryan Price Action Indicator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2026-07-02T06:23:48.571Z</dcterms:created>
  <dcterms:modified xsi:type="dcterms:W3CDTF">2026-07-02T06:23:48.571Z</dcterms:modified>
</cp:coreProperties>
</file>

<file path=docProps/custom.xml><?xml version="1.0" encoding="utf-8"?>
<Properties xmlns="http://schemas.openxmlformats.org/officeDocument/2006/custom-properties" xmlns:vt="http://schemas.openxmlformats.org/officeDocument/2006/docPropsVTypes"/>
</file>