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Outfit" w:hAnsi="Outfit"/>
          <w:b/>
          <w:color w:val="5F5CE6"/>
          <w:sz w:val="48"/>
        </w:rPr>
        <w:t>TENDER BUSINESS INTELLIGENCE</w:t>
        <w:br/>
        <w:t>ACTION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5F5CE6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280"/>
        <w:jc w:val="center"/>
      </w:pPr>
      <w:r>
        <w:rPr>
          <w:rFonts w:ascii="Inter" w:hAnsi="Inter"/>
          <w:i/>
          <w:color w:val="6B7280"/>
          <w:sz w:val="22"/>
        </w:rPr>
        <w:t>Automated Extraction, Compliance Checklists, Operational Deliverables, and Verification Timelines</w:t>
      </w:r>
    </w:p>
    <w:p/>
    <w:p/>
    <w:p/>
    <w:p/>
    <w:p/>
    <w:p/>
    <w:p/>
    <w:p>
      <w:pPr>
        <w:spacing w:after="80"/>
        <w:jc w:val="center"/>
      </w:pPr>
      <w:r>
        <w:rPr>
          <w:rFonts w:ascii="Inter" w:hAnsi="Inter"/>
          <w:color w:val="4B5563"/>
          <w:sz w:val="19"/>
        </w:rPr>
        <w:t>Source Document: sample.pdf</w:t>
        <w:br/>
        <w:t>System AI Maturity Score: 95%</w:t>
        <w:br/>
        <w:t>Report Generated: 2026-06-15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Table of Contents &amp; Executive Summary</w:t>
      </w:r>
    </w:p>
    <w:p>
      <w:pPr>
        <w:spacing w:after="160"/>
        <w:ind w:left="0"/>
      </w:pPr>
      <w:r>
        <w:rPr>
          <w:rFonts w:ascii="Inter" w:hAnsi="Inter"/>
          <w:b/>
          <w:i w:val="0"/>
          <w:color w:val="374151"/>
          <w:sz w:val="22"/>
        </w:rPr>
        <w:t>Document Structure: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1. Cover Page &amp; Metadata (Page 1)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2. Table of Contents &amp; Executive Summary (Page 2)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3. Project Extraction Metadata &amp; AI Readiness (Page 3)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4. Key Tender Milestones &amp; Timeline (Page 4)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5. Compliance Verification Checklist (Page 5)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6. Deliverables &amp; Technical Scope Table (Page 6)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7. Eligibility Documentation Checklist (Page 7)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8. Billing &amp; Shipping Addresses (Page 8)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9. Procurement Evaluation Summary (Page 9)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10. Risk Management &amp; Alerts Section (Page 10)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11. Topic Action Plan: Compliance &amp; Administrative (Page 11)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12. Topic Action Plan: Financial &amp; Billing (Page 12)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13. Topic Action Plan: Engineering &amp; Specifications (Page 13)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14. Topic Action Plan: Operations &amp; Logistics (Page 14)</w:t>
      </w:r>
    </w:p>
    <w:p>
      <w:pPr>
        <w:spacing w:after="6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15. Joint Approval &amp; Document Sign-Off Sheet (Page 15)</w:t>
      </w:r>
    </w:p>
    <w:p/>
    <w:p>
      <w:pPr>
        <w:keepNext/>
        <w:spacing w:before="240" w:after="120"/>
      </w:pPr>
      <w:r>
        <w:rPr>
          <w:rFonts w:ascii="Outfit" w:hAnsi="Outfit"/>
          <w:b/>
          <w:color w:val="5F5CE6"/>
          <w:sz w:val="28"/>
        </w:rPr>
        <w:t>Executive Summary</w:t>
      </w:r>
    </w:p>
    <w:p>
      <w:pPr>
        <w:spacing w:after="240"/>
        <w:ind w:left="0"/>
      </w:pPr>
      <w:r>
        <w:rPr>
          <w:rFonts w:ascii="Inter" w:hAnsi="Inter"/>
          <w:b w:val="0"/>
          <w:i w:val="0"/>
          <w:color w:val="374151"/>
          <w:sz w:val="20"/>
        </w:rPr>
        <w:t>This document is a formal tender for 95.67 MT of Alumina-Magnesia Spinel Bricks for steel plants.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Project Extraction Metadata &amp; AI Readiness</w:t>
      </w:r>
    </w:p>
    <w:p>
      <w:pPr>
        <w:spacing w:after="120"/>
        <w:ind w:left="0"/>
      </w:pPr>
      <w:r>
        <w:rPr>
          <w:rFonts w:ascii="Inter" w:hAnsi="Inter"/>
          <w:b/>
          <w:i w:val="0"/>
          <w:color w:val="374151"/>
          <w:sz w:val="22"/>
        </w:rPr>
        <w:t>Document Metadata Summary: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Source Filename</w:t>
            </w:r>
          </w:p>
        </w:tc>
        <w:tc>
          <w:tcPr>
            <w:tcW w:type="dxa" w:w="57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sample.pdf</w:t>
            </w:r>
          </w:p>
        </w:tc>
      </w:tr>
      <w:tr>
        <w:tc>
          <w:tcPr>
            <w:tcW w:type="dxa" w:w="360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Extraction Timestamp</w:t>
            </w:r>
          </w:p>
        </w:tc>
        <w:tc>
          <w:tcPr>
            <w:tcW w:type="dxa" w:w="57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2026-06-15 20:50:00 (Local)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System Readiness Score</w:t>
            </w:r>
          </w:p>
        </w:tc>
        <w:tc>
          <w:tcPr>
            <w:tcW w:type="dxa" w:w="57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95 out of 100</w:t>
            </w:r>
          </w:p>
        </w:tc>
      </w:tr>
      <w:tr>
        <w:tc>
          <w:tcPr>
            <w:tcW w:type="dxa" w:w="360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Analysis Engine</w:t>
            </w:r>
          </w:p>
        </w:tc>
        <w:tc>
          <w:tcPr>
            <w:tcW w:type="dxa" w:w="57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Gemini-1.5-Flash OCR Extractor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Extraction Mode</w:t>
            </w:r>
          </w:p>
        </w:tc>
        <w:tc>
          <w:tcPr>
            <w:tcW w:type="dxa" w:w="57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Structured JSON Schema Parsing</w:t>
            </w:r>
          </w:p>
        </w:tc>
      </w:tr>
    </w:tbl>
    <w:p/>
    <w:p>
      <w:pPr>
        <w:keepNext/>
        <w:spacing w:before="240" w:after="120"/>
      </w:pPr>
      <w:r>
        <w:rPr>
          <w:rFonts w:ascii="Outfit" w:hAnsi="Outfit"/>
          <w:b/>
          <w:color w:val="5F5CE6"/>
          <w:sz w:val="28"/>
        </w:rPr>
        <w:t>AI Readiness Score Justification</w:t>
      </w:r>
    </w:p>
    <w:p>
      <w:pPr>
        <w:spacing w:after="240"/>
        <w:ind w:left="0"/>
      </w:pPr>
      <w:r>
        <w:rPr>
          <w:rFonts w:ascii="Inter" w:hAnsi="Inter"/>
          <w:b w:val="0"/>
          <w:i w:val="0"/>
          <w:color w:val="374151"/>
          <w:sz w:val="20"/>
        </w:rPr>
        <w:t>The document outlines precise parameters, concrete percentages, exact currency limits, and definite schedules, which represent a highly actionable maturity level.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Outfit" w:hAnsi="Outfit"/>
                <w:b/>
                <w:color w:val="5F5CE6"/>
                <w:sz w:val="20"/>
              </w:rPr>
              <w:t xml:space="preserve">EXPLANATION: </w:t>
            </w:r>
            <w:r>
              <w:rPr>
                <w:rFonts w:ascii="Inter" w:hAnsi="Inter"/>
                <w:i/>
                <w:color w:val="374151"/>
                <w:sz w:val="19"/>
              </w:rPr>
              <w:t>The AI readiness score indicates how readily these specifications can be converted into standard procurement pipelines. A higher score corresponds to fewer ambiguities and higher structural consistency in formatting.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Key Tender Milestones &amp; Timeline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Below is the consolidated schedule of deadlines and milestones extracted from the tender document. Adherence to these timelines is critical to prevent bid rejection or penalty enforcement.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Milestone Event</w:t>
            </w:r>
          </w:p>
        </w:tc>
        <w:tc>
          <w:tcPr>
            <w:tcW w:type="dxa" w:w="312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Target Date / Deadline</w:t>
            </w:r>
          </w:p>
        </w:tc>
        <w:tc>
          <w:tcPr>
            <w:tcW w:type="dxa" w:w="312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Criticality / Impact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Bid Submission Deadline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09.02.2026 11:00 AM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DC2626"/>
                <w:sz w:val="19"/>
              </w:rPr>
              <w:t>HIGH - LATE SUBMISSIONS REJECTED</w:t>
            </w:r>
          </w:p>
        </w:tc>
      </w:tr>
      <w:tr>
        <w:tc>
          <w:tcPr>
            <w:tcW w:type="dxa" w:w="360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Technical Bid Opening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09.02.2026 11:15 AM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MEDIUM - INITIAL BID OPENING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Security Deposit Submission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Within 30 Days from PO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DC2626"/>
                <w:sz w:val="19"/>
              </w:rPr>
              <w:t>HIGH - FORFEITURE AVOIDANCE</w:t>
            </w:r>
          </w:p>
        </w:tc>
      </w:tr>
      <w:tr>
        <w:tc>
          <w:tcPr>
            <w:tcW w:type="dxa" w:w="360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Supply Delivery Completion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Within 45 Days from PO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DC2626"/>
                <w:sz w:val="19"/>
              </w:rPr>
              <w:t>HIGH - LIQUIDATED DAMAGES ENFORCED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Compliance Verification Checklist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The following compliance items must be fully validated before submitting the official bid package. Failure to satisfy any item may lead to disqualification.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Requirement Clause</w:t>
            </w:r>
          </w:p>
        </w:tc>
        <w:tc>
          <w:tcPr>
            <w:tcW w:type="dxa" w:w="312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Status / Requirement</w:t>
            </w:r>
          </w:p>
        </w:tc>
        <w:tc>
          <w:tcPr>
            <w:tcW w:type="dxa" w:w="312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Reference Snip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[  ]  Submit Bid Before Deadline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Required by 09.02.2026 11:00 AM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7"/>
              </w:rPr>
              <w:t>"Submission deadline: 09.02.2026"</w:t>
            </w:r>
          </w:p>
        </w:tc>
      </w:tr>
      <w:tr>
        <w:tc>
          <w:tcPr>
            <w:tcW w:type="dxa" w:w="3168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[  ]  Submit EMD / Exemption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Required (₹1,00,000)</w:t>
            </w:r>
          </w:p>
        </w:tc>
        <w:tc>
          <w:tcPr>
            <w:tcW w:type="dxa" w:w="3312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7"/>
              </w:rPr>
              <w:t>"EMD: ₹1,00,000"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Deliverables &amp; Technical Scope Table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The following deliverables represent the complete physical supply requirement under this contract. Ensure manufacturing plans and raw materials are scheduled to deliver these shapes precisely.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Shape Designation</w:t>
            </w:r>
          </w:p>
        </w:tc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Quantity Required</w:t>
            </w:r>
          </w:p>
        </w:tc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Weight Parameter</w:t>
            </w:r>
          </w:p>
        </w:tc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Quality Standard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8/8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2,480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95.67 MT (Total)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7"/>
              </w:rPr>
              <w:t>Al2O3 &gt;= 92%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8/30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1,325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95.67 MT (Total)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7"/>
              </w:rPr>
              <w:t>Al2O3 &gt;= 92%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7/8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4,975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95.67 MT (Total)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7"/>
              </w:rPr>
              <w:t>Al2O3 &gt;= 92%</w:t>
            </w:r>
          </w:p>
        </w:tc>
      </w:tr>
      <w:tr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7/30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2,500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95.67 MT (Total)</w:t>
            </w:r>
          </w:p>
        </w:tc>
        <w:tc>
          <w:tcPr>
            <w:tcW w:type="dxa" w:w="288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7"/>
              </w:rPr>
              <w:t>Al2O3 &gt;= 92%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Eligibility Documentation &amp; Evidence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To qualify for tender evaluation, the bidder must upload specific legal and CA-certified document evidence. Review the checklists below to ensure completeness.</w:t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A. Financial Evidence Check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Audited Turnover Statement: Audited Turnover statement average &gt;= ₹50,09,444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CA Certification with UDIN: CA Certified certificate with valid UDIN</w:t>
      </w:r>
    </w:p>
    <w:p>
      <w:pPr>
        <w:keepNext/>
        <w:spacing w:before="160" w:after="120"/>
      </w:pPr>
      <w:r>
        <w:rPr>
          <w:rFonts w:ascii="Outfit" w:hAnsi="Outfit"/>
          <w:b/>
          <w:color w:val="5F5CE6"/>
          <w:sz w:val="26"/>
        </w:rPr>
        <w:t>B. Technical Experience Check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Past Purchase Orders: Copies of past POs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Matching Invoices: Invoices matching POs</w:t>
      </w:r>
    </w:p>
    <w:p>
      <w:pPr>
        <w:keepNext/>
        <w:spacing w:before="160" w:after="120"/>
      </w:pPr>
      <w:r>
        <w:rPr>
          <w:rFonts w:ascii="Outfit" w:hAnsi="Outfit"/>
          <w:b/>
          <w:color w:val="5F5CE6"/>
          <w:sz w:val="26"/>
        </w:rPr>
        <w:t>C. Mandatory Forms &amp; Annexures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Form 1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Form 2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Annexure 1.2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[  ]  Annexure 1.3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Operational &amp; Logistics Addresses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Verify billing and consignment shipping addresses prior to shipment scheduling or invoice dispatch. Misdirected deliveries are subject to contract penalties.</w:t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Consignee Shipping Location (Shipping 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Outfit" w:hAnsi="Outfit"/>
                <w:b/>
                <w:color w:val="5F5CE6"/>
                <w:sz w:val="20"/>
              </w:rPr>
              <w:t xml:space="preserve">CONSIGNEE ADDRESS: </w:t>
            </w:r>
            <w:r>
              <w:rPr>
                <w:rFonts w:ascii="Inter" w:hAnsi="Inter"/>
                <w:i/>
                <w:color w:val="374151"/>
                <w:sz w:val="19"/>
              </w:rPr>
              <w:t>Bokaro Steel Plant, Jharkhand - 827001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Outfit" w:hAnsi="Outfit"/>
          <w:b/>
          <w:color w:val="5F5CE6"/>
          <w:sz w:val="26"/>
        </w:rPr>
        <w:t>Billing Invoicing Location (Bill 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Outfit" w:hAnsi="Outfit"/>
                <w:b/>
                <w:color w:val="5F5CE6"/>
                <w:sz w:val="20"/>
              </w:rPr>
              <w:t xml:space="preserve">INVOICE ADDRESS: </w:t>
            </w:r>
            <w:r>
              <w:rPr>
                <w:rFonts w:ascii="Inter" w:hAnsi="Inter"/>
                <w:i/>
                <w:color w:val="374151"/>
                <w:sz w:val="19"/>
              </w:rPr>
              <w:t>SRCL Salem, Salem, Tamil Nadu - 636013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Outfit" w:hAnsi="Outfit"/>
          <w:b/>
          <w:color w:val="5F5CE6"/>
          <w:sz w:val="26"/>
        </w:rPr>
        <w:t>Logistics &amp; Invoicing Guidelines</w:t>
      </w:r>
    </w:p>
    <w:p>
      <w:pPr>
        <w:spacing w:after="80"/>
        <w:ind w:left="360"/>
      </w:pPr>
      <w:r>
        <w:rPr>
          <w:rFonts w:ascii="Outfit" w:hAnsi="Outfit"/>
          <w:b/>
          <w:color w:val="10B981"/>
          <w:sz w:val="19"/>
        </w:rPr>
        <w:t xml:space="preserve">[EXTRACTED REQUIREMENT] </w:t>
      </w:r>
      <w:r>
        <w:rPr>
          <w:rFonts w:ascii="Inter" w:hAnsi="Inter"/>
          <w:color w:val="374151"/>
          <w:sz w:val="19"/>
        </w:rPr>
        <w:t>Billing Invoices must be routed to SAIL Refractory Company Ltd., Salem, and deliveries shipped to DGM (Stores), Bokaro Steel Plant.</w:t>
      </w:r>
    </w:p>
    <w:p>
      <w:pPr>
        <w:spacing w:after="80"/>
        <w:ind w:left="360"/>
      </w:pPr>
      <w:r>
        <w:rPr>
          <w:rFonts w:ascii="Outfit" w:hAnsi="Outfit"/>
          <w:b/>
          <w:color w:val="10B981"/>
          <w:sz w:val="19"/>
        </w:rPr>
        <w:t xml:space="preserve">[EXTRACTED REQUIREMENT] </w:t>
      </w:r>
      <w:r>
        <w:rPr>
          <w:rFonts w:ascii="Inter" w:hAnsi="Inter"/>
          <w:color w:val="374151"/>
          <w:sz w:val="19"/>
        </w:rPr>
        <w:t>Goods Receipt Note (GRN) from Bokaro Steel Plant must be obtained as official evidence of delivery for payment claims.</w:t>
      </w:r>
    </w:p>
    <w:p>
      <w:pPr>
        <w:spacing w:after="80"/>
        <w:ind w:left="360"/>
      </w:pPr>
      <w:r>
        <w:rPr>
          <w:rFonts w:ascii="Outfit" w:hAnsi="Outfit"/>
          <w:b/>
          <w:color w:val="5F5CE6"/>
          <w:sz w:val="19"/>
        </w:rPr>
        <w:t xml:space="preserve">[AI RECOMMENDATION] </w:t>
      </w:r>
      <w:r>
        <w:rPr>
          <w:rFonts w:ascii="Inter" w:hAnsi="Inter"/>
          <w:color w:val="374151"/>
          <w:sz w:val="19"/>
        </w:rPr>
        <w:t>Send invoice copies to the Salem Billing department within 5 business days of cargo dispatch to ensure timely payment processing.</w:t>
      </w:r>
    </w:p>
    <w:p>
      <w:pPr>
        <w:spacing w:after="80"/>
        <w:ind w:left="360"/>
      </w:pPr>
      <w:r>
        <w:rPr>
          <w:rFonts w:ascii="Outfit" w:hAnsi="Outfit"/>
          <w:b/>
          <w:color w:val="5F5CE6"/>
          <w:sz w:val="19"/>
        </w:rPr>
        <w:t xml:space="preserve">[AI RECOMMENDATION] </w:t>
      </w:r>
      <w:r>
        <w:rPr>
          <w:rFonts w:ascii="Inter" w:hAnsi="Inter"/>
          <w:color w:val="374151"/>
          <w:sz w:val="19"/>
        </w:rPr>
        <w:t>All shipments should include a triplicate copy of the commercial invoice referencing the PO number for customs and receipt clearance.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Procurement Bid Evaluation Workflow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The bidding and selection pipeline is structured into multiple stages. Bids failing any early stage will be excluded from price consideration.</w:t>
      </w:r>
    </w:p>
    <w:p>
      <w:pPr>
        <w:keepNext/>
        <w:spacing w:before="120" w:after="120"/>
      </w:pPr>
      <w:r>
        <w:rPr>
          <w:rFonts w:ascii="Outfit" w:hAnsi="Outfit"/>
          <w:b/>
          <w:color w:val="5F5CE6"/>
          <w:sz w:val="26"/>
        </w:rPr>
        <w:t>Stage 1: Techno-Commercial</w:t>
      </w:r>
    </w:p>
    <w:p>
      <w:pPr>
        <w:spacing w:after="12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Verification of brick specifications</w:t>
      </w:r>
    </w:p>
    <w:p>
      <w:pPr>
        <w:keepNext/>
        <w:spacing w:before="120" w:after="120"/>
      </w:pPr>
      <w:r>
        <w:rPr>
          <w:rFonts w:ascii="Outfit" w:hAnsi="Outfit"/>
          <w:b/>
          <w:color w:val="5F5CE6"/>
          <w:sz w:val="26"/>
        </w:rPr>
        <w:t>Stage 2: Commercial &amp; EMD</w:t>
      </w:r>
    </w:p>
    <w:p>
      <w:pPr>
        <w:spacing w:after="12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EMD and CA UDIN check</w:t>
      </w:r>
    </w:p>
    <w:p>
      <w:pPr>
        <w:keepNext/>
        <w:spacing w:before="120" w:after="120"/>
      </w:pPr>
      <w:r>
        <w:rPr>
          <w:rFonts w:ascii="Outfit" w:hAnsi="Outfit"/>
          <w:b/>
          <w:color w:val="5F5CE6"/>
          <w:sz w:val="26"/>
        </w:rPr>
        <w:t>Stage 3: Price Opening</w:t>
      </w:r>
    </w:p>
    <w:p>
      <w:pPr>
        <w:spacing w:after="12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Lowest cost bid check</w:t>
      </w:r>
    </w:p>
    <w:p>
      <w:pPr>
        <w:keepNext/>
        <w:spacing w:before="120" w:after="120"/>
      </w:pPr>
      <w:r>
        <w:rPr>
          <w:rFonts w:ascii="Outfit" w:hAnsi="Outfit"/>
          <w:b/>
          <w:color w:val="5F5CE6"/>
          <w:sz w:val="26"/>
        </w:rPr>
        <w:t>Stage 4: Reverse Auction</w:t>
      </w:r>
    </w:p>
    <w:p>
      <w:pPr>
        <w:spacing w:after="12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May be conducted online</w:t>
      </w:r>
    </w:p>
    <w:p>
      <w:pPr>
        <w:keepNext/>
        <w:spacing w:before="120" w:after="120"/>
      </w:pPr>
      <w:r>
        <w:rPr>
          <w:rFonts w:ascii="Outfit" w:hAnsi="Outfit"/>
          <w:b/>
          <w:color w:val="5F5CE6"/>
          <w:sz w:val="26"/>
        </w:rPr>
        <w:t>Stage 5: L1 Determination</w:t>
      </w:r>
    </w:p>
    <w:p>
      <w:pPr>
        <w:spacing w:after="12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Lowest landed cost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Risk Management &amp; Forfeiture Conditions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Below are the critical risk conditions, bid rejection triggers, and deposit forfeiture rules. Risk control protocols must be active to avoid financial exposure.</w:t>
      </w:r>
    </w:p>
    <w:p>
      <w:pPr>
        <w:spacing w:before="160" w:after="40"/>
        <w:ind w:left="288"/>
      </w:pPr>
      <w:r>
        <w:rPr>
          <w:rFonts w:ascii="Inter" w:hAnsi="Inter"/>
          <w:b/>
          <w:color w:val="DC2626"/>
          <w:sz w:val="22"/>
        </w:rPr>
        <w:t xml:space="preserve">⚠ </w:t>
      </w:r>
      <w:r>
        <w:rPr>
          <w:rFonts w:ascii="Outfit" w:hAnsi="Outfit"/>
          <w:b/>
          <w:color w:val="DC2626"/>
          <w:sz w:val="22"/>
        </w:rPr>
        <w:t xml:space="preserve">Bid Rejection: </w:t>
      </w:r>
      <w:r>
        <w:rPr>
          <w:rFonts w:ascii="Inter" w:hAnsi="Inter"/>
          <w:color w:val="374151"/>
          <w:sz w:val="20"/>
        </w:rPr>
        <w:t>Failure to upload EMD leads to bid rejection.</w:t>
      </w:r>
    </w:p>
    <w:p>
      <w:pPr>
        <w:spacing w:after="120"/>
        <w:ind w:left="648"/>
      </w:pPr>
      <w:r>
        <w:rPr>
          <w:rFonts w:ascii="Inter" w:hAnsi="Inter"/>
          <w:b w:val="0"/>
          <w:i/>
          <w:color w:val="374151"/>
          <w:sz w:val="17"/>
        </w:rPr>
        <w:t>Source Reference: "EMD rejection clause"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Category Action Plan: Compliance &amp; Administrative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This page lists the extracted tasks and operational guide for the Compliance &amp; Administrative division.</w:t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General Division Guidelines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Submit bid documents through the online EPS portal before 09.02.2026 11:00 AM.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Verify all uploaded attachments are complete and readable in the Part-1 folder.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Ensure Bid Acceptance Forms are fully signed and stamped by authorized representatives.</w:t>
      </w:r>
    </w:p>
    <w:p/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Extracted Project Tasks</w:t>
      </w:r>
    </w:p>
    <w:p>
      <w:pPr>
        <w:spacing w:before="160" w:after="40"/>
        <w:ind w:left="288"/>
      </w:pPr>
      <w:r>
        <w:rPr>
          <w:rFonts w:ascii="Outfit" w:hAnsi="Outfit"/>
          <w:b/>
          <w:color w:val="DC2626"/>
          <w:sz w:val="22"/>
        </w:rPr>
        <w:t xml:space="preserve">[MANDATORY] </w:t>
      </w:r>
      <w:r>
        <w:rPr>
          <w:rFonts w:ascii="Outfit" w:hAnsi="Outfit"/>
          <w:b/>
          <w:color w:val="5F5CE6"/>
          <w:sz w:val="23"/>
        </w:rPr>
        <w:t xml:space="preserve">1.  Submit Bid Packet Online </w:t>
      </w:r>
    </w:p>
    <w:p>
      <w:pPr>
        <w:spacing w:after="40"/>
        <w:ind w:left="648"/>
      </w:pPr>
      <w:r>
        <w:rPr>
          <w:rFonts w:ascii="Inter" w:hAnsi="Inter"/>
          <w:b w:val="0"/>
          <w:i w:val="0"/>
          <w:color w:val="6B7280"/>
          <w:sz w:val="18"/>
        </w:rPr>
        <w:t>Owner: Procurement Specialist   |   Timeline: 09.02.2026 11:00 AM   |   Priority: High</w:t>
      </w:r>
    </w:p>
    <w:p>
      <w:pPr>
        <w:spacing w:after="40"/>
        <w:ind w:left="648"/>
      </w:pPr>
      <w:r>
        <w:rPr>
          <w:rFonts w:ascii="Inter" w:hAnsi="Inter"/>
          <w:b/>
          <w:color w:val="1F2937"/>
          <w:sz w:val="19"/>
        </w:rPr>
        <w:t xml:space="preserve">Extracted Requirement: </w:t>
      </w:r>
      <w:r>
        <w:rPr>
          <w:rFonts w:ascii="Inter" w:hAnsi="Inter"/>
          <w:color w:val="374151"/>
          <w:sz w:val="19"/>
        </w:rPr>
        <w:t>Upload all techno-commercial documents and Forms 1-4.</w:t>
      </w:r>
    </w:p>
    <w:p>
      <w:pPr>
        <w:spacing w:after="80"/>
        <w:ind w:left="648"/>
      </w:pPr>
      <w:r>
        <w:rPr>
          <w:rFonts w:ascii="Inter" w:hAnsi="Inter"/>
          <w:b/>
          <w:color w:val="5F5CE6"/>
          <w:sz w:val="19"/>
        </w:rPr>
        <w:t xml:space="preserve">AI Recommendation: </w:t>
      </w:r>
      <w:r>
        <w:rPr>
          <w:rFonts w:ascii="Inter" w:hAnsi="Inter"/>
          <w:color w:val="374151"/>
          <w:sz w:val="19"/>
        </w:rPr>
        <w:t>No recommendation provided.</w:t>
      </w:r>
    </w:p>
    <w:p>
      <w:pPr>
        <w:spacing w:after="160"/>
        <w:ind w:left="648"/>
      </w:pPr>
      <w:r>
        <w:rPr>
          <w:rFonts w:ascii="Inter" w:hAnsi="Inter"/>
          <w:b w:val="0"/>
          <w:i/>
          <w:color w:val="6B7280"/>
          <w:sz w:val="17"/>
        </w:rPr>
        <w:t>Citation coordinates: Page N/A, Section: N/A, Clause: "Submission deadline: 09.02.2026"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Category Action Plan: Financial &amp; Invoicing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This page lists the extracted tasks and operational guide for the Financial &amp; Invoicing division.</w:t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General Division Guidelines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Procure the ₹1,00,000 EMD or prepare MSE/NSIC exemption certificates.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Submit the Security Deposit (3% of PO value) within 30 days of receiving the Purchase Order.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Configure invoicing systems for Salem billing and Bokaro consignment delivery proof claims.</w:t>
      </w:r>
    </w:p>
    <w:p/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Extracted Project Tasks</w:t>
      </w:r>
    </w:p>
    <w:p>
      <w:pPr>
        <w:spacing w:before="160" w:after="40"/>
        <w:ind w:left="288"/>
      </w:pPr>
      <w:r>
        <w:rPr>
          <w:rFonts w:ascii="Outfit" w:hAnsi="Outfit"/>
          <w:b/>
          <w:color w:val="DC2626"/>
          <w:sz w:val="22"/>
        </w:rPr>
        <w:t xml:space="preserve">[MANDATORY] </w:t>
      </w:r>
      <w:r>
        <w:rPr>
          <w:rFonts w:ascii="Outfit" w:hAnsi="Outfit"/>
          <w:b/>
          <w:color w:val="5F5CE6"/>
          <w:sz w:val="23"/>
        </w:rPr>
        <w:t xml:space="preserve">1.  Deposit EMD Amount </w:t>
      </w:r>
    </w:p>
    <w:p>
      <w:pPr>
        <w:spacing w:after="40"/>
        <w:ind w:left="648"/>
      </w:pPr>
      <w:r>
        <w:rPr>
          <w:rFonts w:ascii="Inter" w:hAnsi="Inter"/>
          <w:b w:val="0"/>
          <w:i w:val="0"/>
          <w:color w:val="6B7280"/>
          <w:sz w:val="18"/>
        </w:rPr>
        <w:t>Owner: Finance Manager   |   Timeline: Before Bid Submission   |   Priority: High</w:t>
      </w:r>
    </w:p>
    <w:p>
      <w:pPr>
        <w:spacing w:after="40"/>
        <w:ind w:left="648"/>
      </w:pPr>
      <w:r>
        <w:rPr>
          <w:rFonts w:ascii="Inter" w:hAnsi="Inter"/>
          <w:b/>
          <w:color w:val="1F2937"/>
          <w:sz w:val="19"/>
        </w:rPr>
        <w:t xml:space="preserve">Extracted Requirement: </w:t>
      </w:r>
      <w:r>
        <w:rPr>
          <w:rFonts w:ascii="Inter" w:hAnsi="Inter"/>
          <w:color w:val="374151"/>
          <w:sz w:val="19"/>
        </w:rPr>
        <w:t>Arrange and submit ₹1,00,000 earnest money deposit.</w:t>
      </w:r>
    </w:p>
    <w:p>
      <w:pPr>
        <w:spacing w:after="80"/>
        <w:ind w:left="648"/>
      </w:pPr>
      <w:r>
        <w:rPr>
          <w:rFonts w:ascii="Inter" w:hAnsi="Inter"/>
          <w:b/>
          <w:color w:val="5F5CE6"/>
          <w:sz w:val="19"/>
        </w:rPr>
        <w:t xml:space="preserve">AI Recommendation: </w:t>
      </w:r>
      <w:r>
        <w:rPr>
          <w:rFonts w:ascii="Inter" w:hAnsi="Inter"/>
          <w:color w:val="374151"/>
          <w:sz w:val="19"/>
        </w:rPr>
        <w:t>No recommendation provided.</w:t>
      </w:r>
    </w:p>
    <w:p>
      <w:pPr>
        <w:spacing w:after="160"/>
        <w:ind w:left="648"/>
      </w:pPr>
      <w:r>
        <w:rPr>
          <w:rFonts w:ascii="Inter" w:hAnsi="Inter"/>
          <w:b w:val="0"/>
          <w:i/>
          <w:color w:val="6B7280"/>
          <w:sz w:val="17"/>
        </w:rPr>
        <w:t>Citation coordinates: Page N/A, Section: N/A, Clause: "EMD: ₹1,00,000"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Category Action Plan: Engineering &amp; Quality Control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This page lists the extracted tasks and operational guide for the Engineering &amp; Quality Control division.</w:t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General Division Guidelines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Verify chemical composition bounds (Al2O3 &gt;= 92%, Fe2O3 &lt;= 0.30%, MgO &lt;= 4%).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Perform CCS and RUL laboratory testing to verify strength &gt;= 700 kg/cm² and thermal tolerance &gt;= 1700°C.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Inspect physical shape deliverables (8/8, 8/30, 7/8, 7/30) for dimension accuracy prior to dispatch.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Category Action Plan: Operations &amp; Logistics</w:t>
      </w:r>
    </w:p>
    <w:p>
      <w:pPr>
        <w:spacing w:after="20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This page lists the extracted tasks and operational guide for the Operations &amp; Logistics division.</w:t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General Division Guidelines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Deliver all spinel brick shape batches within 45 days from PO signature.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Arrange specialized cargo transport to ship the brick shapes directly to Bokaro Steel Plant.</w:t>
      </w:r>
    </w:p>
    <w:p>
      <w:pPr>
        <w:spacing w:after="80"/>
        <w:ind w:left="360"/>
      </w:pPr>
      <w:r>
        <w:rPr>
          <w:rFonts w:ascii="Inter" w:hAnsi="Inter"/>
          <w:b w:val="0"/>
          <w:i w:val="0"/>
          <w:color w:val="374151"/>
          <w:sz w:val="20"/>
        </w:rPr>
        <w:t>• Obtain signed Goods Receipt Notes (GRN) from the consignee to initiate payment milestones.</w:t>
      </w:r>
    </w:p>
    <w:p>
      <w:r>
        <w:br w:type="page"/>
      </w:r>
    </w:p>
    <w:p>
      <w:pPr>
        <w:keepNext/>
        <w:spacing w:before="240" w:after="120"/>
      </w:pPr>
      <w:r>
        <w:rPr>
          <w:rFonts w:ascii="Outfit" w:hAnsi="Outfit"/>
          <w:b/>
          <w:color w:val="5F5CE6"/>
          <w:sz w:val="36"/>
        </w:rPr>
        <w:t>Joint Approval &amp; Document Sign-Off Sheet</w:t>
      </w:r>
    </w:p>
    <w:p>
      <w:pPr>
        <w:spacing w:after="240"/>
        <w:ind w:left="0"/>
      </w:pPr>
      <w:r>
        <w:rPr>
          <w:rFonts w:ascii="Inter" w:hAnsi="Inter"/>
          <w:b w:val="0"/>
          <w:i w:val="0"/>
          <w:color w:val="374151"/>
          <w:sz w:val="21"/>
        </w:rPr>
        <w:t>The signatories below approve this Action Plan, confirming that all specifications, compliance duties, and financial liabilities have been reviewed and accepted.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Authorized Role</w:t>
            </w:r>
          </w:p>
        </w:tc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Representative Name</w:t>
            </w:r>
          </w:p>
        </w:tc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Signature / Stamp</w:t>
            </w:r>
          </w:p>
        </w:tc>
        <w:tc>
          <w:tcPr>
            <w:tcW w:type="dxa" w:w="2340"/>
            <w:shd w:val="clear" w:color="auto" w:fill="5F5C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Project Executive Sponsor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____/____/2026</w:t>
            </w:r>
          </w:p>
        </w:tc>
      </w:tr>
      <w:tr>
        <w:tc>
          <w:tcPr>
            <w:tcW w:type="dxa" w:w="3168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Compliance / Bid Manager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14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____/____/2026</w:t>
            </w:r>
          </w:p>
        </w:tc>
      </w:tr>
      <w:tr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Finance Coordinator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____/____/2026</w:t>
            </w:r>
          </w:p>
        </w:tc>
      </w:tr>
      <w:tr>
        <w:tc>
          <w:tcPr>
            <w:tcW w:type="dxa" w:w="3168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/>
                <w:color w:val="374151"/>
                <w:sz w:val="19"/>
              </w:rPr>
              <w:t>Logistics &amp; Ops Lead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___________________</w:t>
            </w:r>
          </w:p>
        </w:tc>
        <w:tc>
          <w:tcPr>
            <w:tcW w:type="dxa" w:w="14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Inter" w:hAnsi="Inter"/>
                <w:b w:val="0"/>
                <w:color w:val="374151"/>
                <w:sz w:val="19"/>
              </w:rPr>
              <w:t>____/____/2026</w:t>
            </w:r>
          </w:p>
        </w:tc>
      </w:tr>
    </w:tbl>
    <w:p/>
    <w:p>
      <w:pPr>
        <w:keepNext/>
        <w:spacing w:before="240" w:after="120"/>
      </w:pPr>
      <w:r>
        <w:rPr>
          <w:rFonts w:ascii="Outfit" w:hAnsi="Outfit"/>
          <w:b/>
          <w:color w:val="5F5CE6"/>
          <w:sz w:val="26"/>
        </w:rPr>
        <w:t>Annexures Guidelines</w:t>
      </w:r>
    </w:p>
    <w:p>
      <w:pPr>
        <w:spacing w:after="60"/>
        <w:ind w:left="0"/>
      </w:pPr>
      <w:r>
        <w:rPr>
          <w:rFonts w:ascii="Inter" w:hAnsi="Inter"/>
          <w:b w:val="0"/>
          <w:i w:val="0"/>
          <w:color w:val="374151"/>
          <w:sz w:val="19"/>
        </w:rPr>
        <w:t>1. Attach a copy of the CA Certified UDIN Turnover statement immediately behind this approval sheet.</w:t>
      </w:r>
    </w:p>
    <w:p>
      <w:pPr>
        <w:spacing w:after="60"/>
        <w:ind w:left="0"/>
      </w:pPr>
      <w:r>
        <w:rPr>
          <w:rFonts w:ascii="Inter" w:hAnsi="Inter"/>
          <w:b w:val="0"/>
          <w:i w:val="0"/>
          <w:color w:val="374151"/>
          <w:sz w:val="19"/>
        </w:rPr>
        <w:t>2. Attach copy of EMD deposit slip or MSE Exemption registration certificate.</w:t>
      </w:r>
    </w:p>
    <w:p>
      <w:pPr>
        <w:spacing w:after="60"/>
        <w:ind w:left="0"/>
      </w:pPr>
      <w:r>
        <w:rPr>
          <w:rFonts w:ascii="Inter" w:hAnsi="Inter"/>
          <w:b w:val="0"/>
          <w:i w:val="0"/>
          <w:color w:val="374151"/>
          <w:sz w:val="19"/>
        </w:rPr>
        <w:t>3. Maintain this signed document in the centralized project management system archive.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Inter" w:hAnsi="Inter"/>
        <w:color w:val="9CA3AF"/>
        <w:sz w:val="17"/>
      </w:rPr>
      <w:t>CONFIDENTIAL | Generated by Taskify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color w:val="9CA3AF"/>
        <w:sz w:val="17"/>
      </w:rPr>
      <w:t>Tender Intelligence &amp; Compliance Action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