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jc w:val="left"/>
      </w:pPr>
    </w:p>
    <w:tbl>
      <w:tblPr>
        <w:tblW w:w="9792" w:type="dxa"/>
        <w:tblLayout w:type="fixed"/>
        <w:tblCellMar>
          <w:left w:w="0" w:type="dxa"/>
          <w:right w:w="0" w:type="dxa"/>
        </w:tblCellMar>
      </w:tblPr>
      <w:tblGrid>
        <w:gridCol w:w="4896"/>
        <w:gridCol w:w="4896"/>
      </w:tblGrid>
      <w:tr>
        <w:tc>
          <w:tcPr>
            <w:tcW w:w="4896" w:type="dxa"/>
          </w:tcPr>
          <w:p>
            <w:pPr>
              <w:spacing w:before="0" w:after="0"/>
              <w:jc w:val="left"/>
            </w:pPr>
            <w:r>
              <w:drawing>
                <wp:inline distT="0" distB="0" distL="0" distR="0">
                  <wp:extent cx="2651760" cy="1645920"/>
                  <wp:docPr id="101" name="CU Logo"/>
                  <a:graphic xmlns:a="http://schemas.openxmlformats.org/drawingml/2006/main">
                    <a:graphicData uri="http://schemas.openxmlformats.org/drawingml/2006/picture">
                      <pic:pic xmlns:pic="http://schemas.openxmlformats.org/drawingml/2006/picture">
                        <pic:nvPicPr>
                          <pic:cNvPr id="101" name="CU Logo"/>
                          <pic:cNvPicPr/>
                        </pic:nvPicPr>
                        <pic:blipFill>
                          <a:blip r:embed="rId10"/>
                          <a:stretch>
                            <a:fillRect/>
                          </a:stretch>
                        </pic:blipFill>
                        <pic:spPr>
                          <a:xfrm>
                            <a:off x="0" y="0"/>
                            <a:ext cx="2651760" cy="1645920"/>
                          </a:xfrm>
                          <a:prstGeom prst="rect">
                            <a:avLst/>
                          </a:prstGeom>
                        </pic:spPr>
                      </pic:pic>
                    </a:graphicData>
                  </a:graphic>
                </wp:inline>
              </w:drawing>
            </w:r>
          </w:p>
        </w:tc>
        <w:tc>
          <w:tcPr>
            <w:tcW w:w="4896" w:type="dxa"/>
          </w:tcPr>
          <w:p>
            <w:pPr>
              <w:spacing w:before="300" w:after="0"/>
              <w:jc w:val="right"/>
            </w:pPr>
            <w:r>
              <w:drawing>
                <wp:inline distT="0" distB="0" distL="0" distR="0">
                  <wp:extent cx="2011680" cy="713232"/>
                  <wp:docPr id="102" name="NAAC"/>
                  <a:graphic xmlns:a="http://schemas.openxmlformats.org/drawingml/2006/main">
                    <a:graphicData uri="http://schemas.openxmlformats.org/drawingml/2006/picture">
                      <pic:pic xmlns:pic="http://schemas.openxmlformats.org/drawingml/2006/picture">
                        <pic:nvPicPr>
                          <pic:cNvPr id="102" name="NAAC"/>
                          <pic:cNvPicPr/>
                        </pic:nvPicPr>
                        <pic:blipFill>
                          <a:blip r:embed="rId11"/>
                          <a:stretch>
                            <a:fillRect/>
                          </a:stretch>
                        </pic:blipFill>
                        <pic:spPr>
                          <a:xfrm>
                            <a:off x="0" y="0"/>
                            <a:ext cx="2011680" cy="713232"/>
                          </a:xfrm>
                          <a:prstGeom prst="rect">
                            <a:avLst/>
                          </a:prstGeom>
                        </pic:spPr>
                      </pic:pic>
                    </a:graphicData>
                  </a:graphic>
                </wp:inline>
              </w:drawing>
            </w:r>
          </w:p>
        </w:tc>
      </w:tr>
    </w:tbl>
    <w:p>
      <w:pPr>
        <w:spacing w:before="500" w:after="300"/>
        <w:jc w:val="center"/>
      </w:pPr>
      <w:r>
        <w:rPr>
          <w:rFonts w:ascii="Times New Roman" w:hAnsi="Times New Roman" w:cs="Times New Roman"/>
          <w:b/>
          <w:u w:val="single"/>
          <w:sz w:val="30"/>
        </w:rPr>
        <w:t xml:space="preserve">ASSIGNMENT</w:t>
      </w:r>
    </w:p>
    <w:p>
      <w:pPr>
        <w:spacing w:before="0" w:after="500"/>
        <w:jc w:val="center"/>
      </w:pPr>
      <w:r>
        <w:drawing>
          <wp:inline distT="0" distB="0" distL="0" distR="0">
            <wp:extent cx="914400" cy="1444752"/>
            <wp:docPr id="103" name="CU Emblem"/>
            <a:graphic xmlns:a="http://schemas.openxmlformats.org/drawingml/2006/main">
              <a:graphicData uri="http://schemas.openxmlformats.org/drawingml/2006/picture">
                <pic:pic xmlns:pic="http://schemas.openxmlformats.org/drawingml/2006/picture">
                  <pic:nvPicPr>
                    <pic:cNvPr id="103" name="CU Emblem"/>
                    <pic:cNvPicPr/>
                  </pic:nvPicPr>
                  <pic:blipFill>
                    <a:blip r:embed="rId12"/>
                    <a:stretch>
                      <a:fillRect/>
                    </a:stretch>
                  </pic:blipFill>
                  <pic:spPr>
                    <a:xfrm>
                      <a:off x="0" y="0"/>
                      <a:ext cx="914400" cy="1444752"/>
                    </a:xfrm>
                    <a:prstGeom prst="rect">
                      <a:avLst/>
                    </a:prstGeom>
                  </pic:spPr>
                </pic:pic>
              </a:graphicData>
            </a:graphic>
          </wp:inline>
        </w:drawing>
      </w:r>
    </w:p>
    <w:p>
      <w:pPr>
        <w:spacing w:before="200" w:after="300"/>
        <w:jc w:val="center"/>
      </w:pPr>
      <w:r>
        <w:rPr>
          <w:rFonts w:ascii="Times New Roman" w:hAnsi="Times New Roman" w:cs="Times New Roman"/>
          <w:b/>
          <w:sz w:val="26"/>
        </w:rPr>
        <w:t xml:space="preserve">Subject: Neural Networks and Deep Learning</w:t>
      </w:r>
    </w:p>
    <w:p>
      <w:pPr>
        <w:spacing w:before="0" w:after="1500"/>
        <w:jc w:val="center"/>
      </w:pPr>
      <w:r>
        <w:rPr>
          <w:rFonts w:ascii="Times New Roman" w:hAnsi="Times New Roman" w:cs="Times New Roman"/>
          <w:b/>
          <w:sz w:val="26"/>
        </w:rPr>
        <w:t xml:space="preserve">Subject Code: 25DSP-712</w:t>
      </w:r>
    </w:p>
    <w:tbl>
      <w:tblPr>
        <w:tblW w:w="9792" w:type="dxa"/>
        <w:tblLayout w:type="fixed"/>
        <w:tblCellMar>
          <w:left w:w="0" w:type="dxa"/>
          <w:right w:w="0" w:type="dxa"/>
        </w:tblCellMar>
      </w:tblPr>
      <w:tblGrid>
        <w:gridCol w:w="6400"/>
        <w:gridCol w:w="3392"/>
      </w:tblGrid>
      <w:tr>
        <w:tc>
          <w:tcPr>
            <w:tcW w:w="6400" w:type="dxa"/>
          </w:tcPr>
          <w:p>
            <w:pPr>
              <w:spacing w:before="0" w:after="200"/>
              <w:jc w:val="left"/>
            </w:pPr>
            <w:r>
              <w:rPr>
                <w:rFonts w:ascii="Times New Roman" w:hAnsi="Times New Roman" w:cs="Times New Roman"/>
                <w:b/>
                <w:sz w:val="24"/>
              </w:rPr>
              <w:t xml:space="preserve">Submitted By.</w:t>
            </w:r>
          </w:p>
          <w:p>
            <w:pPr>
              <w:spacing w:before="0" w:after="200"/>
              <w:jc w:val="left"/>
            </w:pPr>
            <w:r>
              <w:rPr>
                <w:rFonts w:ascii="Times New Roman" w:hAnsi="Times New Roman" w:cs="Times New Roman"/>
                <w:b/>
                <w:sz w:val="24"/>
              </w:rPr>
              <w:t xml:space="preserve">Name: Aryan Thakur</w:t>
            </w:r>
          </w:p>
          <w:p>
            <w:pPr>
              <w:spacing w:before="0" w:after="200"/>
              <w:jc w:val="left"/>
            </w:pPr>
            <w:r>
              <w:rPr>
                <w:rFonts w:ascii="Times New Roman" w:hAnsi="Times New Roman" w:cs="Times New Roman"/>
                <w:b/>
                <w:sz w:val="24"/>
              </w:rPr>
              <w:t xml:space="preserve">UID: 25MDA10033</w:t>
            </w:r>
          </w:p>
          <w:p>
            <w:pPr>
              <w:spacing w:before="0" w:after="0"/>
              <w:jc w:val="left"/>
            </w:pPr>
            <w:r>
              <w:rPr>
                <w:rFonts w:ascii="Times New Roman" w:hAnsi="Times New Roman" w:cs="Times New Roman"/>
                <w:b/>
                <w:sz w:val="24"/>
              </w:rPr>
              <w:t xml:space="preserve">Branch/Sec: Data Science and AI / 25MDS-601 Group A</w:t>
            </w:r>
          </w:p>
        </w:tc>
        <w:tc>
          <w:tcPr>
            <w:tcW w:w="3392" w:type="dxa"/>
          </w:tcPr>
          <w:p>
            <w:pPr>
              <w:spacing w:before="0" w:after="200"/>
              <w:jc w:val="center"/>
            </w:pPr>
            <w:r>
              <w:rPr>
                <w:rFonts w:ascii="Times New Roman" w:hAnsi="Times New Roman" w:cs="Times New Roman"/>
                <w:b/>
                <w:sz w:val="24"/>
              </w:rPr>
              <w:t xml:space="preserve">Submitted To.</w:t>
            </w:r>
          </w:p>
          <w:p>
            <w:pPr>
              <w:spacing w:before="0" w:after="200"/>
              <w:jc w:val="center"/>
            </w:pPr>
            <w:r>
              <w:rPr>
                <w:rFonts w:ascii="Times New Roman" w:hAnsi="Times New Roman" w:cs="Times New Roman"/>
                <w:b/>
                <w:sz w:val="24"/>
              </w:rPr>
              <w:t xml:space="preserve">Mr. Aaqib</w:t>
            </w:r>
          </w:p>
          <w:p>
            <w:pPr>
              <w:spacing w:before="0" w:after="0"/>
              <w:jc w:val="center"/>
            </w:pPr>
            <w:r>
              <w:rPr>
                <w:rFonts w:ascii="Times New Roman" w:hAnsi="Times New Roman" w:cs="Times New Roman"/>
                <w:b/>
                <w:sz w:val="24"/>
              </w:rPr>
              <w:t xml:space="preserve">(Teacher’s Name)</w:t>
            </w:r>
          </w:p>
        </w:tc>
      </w:tr>
    </w:tbl>
    <w:p>
      <w:pPr>
        <w:sectPr>
          <w:pgSz w:w="12240" w:h="15840"/>
          <w:pgMar w:top="1080" w:right="1224" w:bottom="1080" w:left="1224"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pPr>
        <w:pStyle w:val="Heading1"/>
      </w:pPr>
      <w:r>
        <w:t>Abstract</w:t>
      </w:r>
    </w:p>
    <w:p>
      <w:r>
        <w:t>This project explores the use of a Convolutional Neural Network (CNN) to classify dermoscopic skin-lesion images into nine categories using the Skin Cancer ISIC dataset referenced in the supplied notebook. The workflow includes dataset loading, image-count inspection, class visualisation, image augmentation, resizing, normalization, CNN construction, model training, learning-curve plotting, and a sample prediction. The notebook reports 2,239 original training images and 118 test images before augmentation, and later reports 6,739 files in the training directory after generated images were added. During 20 epochs, the highest recorded training accuracy is approximately 93.09%, while validation accuracy varies substantially and validation loss becomes very high. Therefore, the current output demonstrates a working experimental pipeline, but does not establish reliable clinical performance. Additional data-splitting controls, preprocessing consistency, and independent evaluation are needed before any real-world use.</w:t>
      </w:r>
    </w:p>
    <w:p>
      <w:pPr>
        <w:pStyle w:val="Heading1"/>
      </w:pPr>
      <w:r>
        <w:t>1. Introduction</w:t>
      </w:r>
    </w:p>
    <w:p>
      <w:r>
        <w:t>Skin lesion assessment often involves examining visual characteristics such as colour, shape, border, and texture. Machine learning, particularly deep learning, can learn visual patterns from labelled images and assist with image classification. A CNN is suitable for image tasks because convolutional filters can learn local visual features and combine them into more complex representations.</w:t>
      </w:r>
    </w:p>
    <w:p>
      <w:r>
        <w:t>The focus of this project is a prototype image-classification system that predicts one of nine dataset labels from a skin-lesion image. It is intended for educational and research purposes only. It is not a diagnostic device and must not replace assessment by a qualified healthcare professional.</w:t>
      </w:r>
    </w:p>
    <w:p>
      <w:pPr>
        <w:pStyle w:val="Heading1"/>
      </w:pPr>
      <w:r>
        <w:t>2. Problem Statement</w:t>
      </w:r>
    </w:p>
    <w:p>
      <w:r>
        <w:t>Build a CNN-based model that analyses skin-lesion images and predicts their dataset category, with particular interest in identifying melanoma-labelled images. Early recognition of potentially serious lesions is an important healthcare challenge. An image classifier could, after rigorous validation, be investigated as a decision-support aid for dermatologists.</w:t>
      </w:r>
    </w:p>
    <w:p>
      <w:pPr>
        <w:pStyle w:val="Heading1"/>
      </w:pPr>
      <w:r>
        <w:t>3. Aim and Objectives</w:t>
      </w:r>
    </w:p>
    <w:p>
      <w:r>
        <w:t>Aim: To develop and study a CNN-based image-classification pipeline for nine skin-lesion categories.</w:t>
      </w:r>
    </w:p>
    <w:p>
      <w:pPr>
        <w:pStyle w:val="ListBullet"/>
      </w:pPr>
      <w:r>
        <w:t>Load the labelled image dataset from directory-based folders.</w:t>
      </w:r>
    </w:p>
    <w:p>
      <w:pPr>
        <w:pStyle w:val="ListBullet"/>
      </w:pPr>
      <w:r>
        <w:t>Inspect image counts and visualise representative images and class distribution.</w:t>
      </w:r>
    </w:p>
    <w:p>
      <w:pPr>
        <w:pStyle w:val="ListBullet"/>
      </w:pPr>
      <w:r>
        <w:t>Apply data augmentation to increase variation in underrepresented classes.</w:t>
      </w:r>
    </w:p>
    <w:p>
      <w:pPr>
        <w:pStyle w:val="ListBullet"/>
      </w:pPr>
      <w:r>
        <w:t>Resize and normalize images before model training.</w:t>
      </w:r>
    </w:p>
    <w:p>
      <w:pPr>
        <w:pStyle w:val="ListBullet"/>
      </w:pPr>
      <w:r>
        <w:t>Build a CNN using convolution, pooling, batch normalization, dropout, and dense layers.</w:t>
      </w:r>
    </w:p>
    <w:p>
      <w:pPr>
        <w:pStyle w:val="ListBullet"/>
      </w:pPr>
      <w:r>
        <w:t>Train the model and compare training performance with validation performance.</w:t>
      </w:r>
    </w:p>
    <w:p>
      <w:pPr>
        <w:pStyle w:val="ListBullet"/>
      </w:pPr>
      <w:r>
        <w:t>Generate a sample prediction and identify limitations requiring further testing.</w:t>
      </w:r>
    </w:p>
    <w:p>
      <w:pPr>
        <w:pStyle w:val="Heading1"/>
      </w:pPr>
      <w:r>
        <w:t>4. Dataset Description</w:t>
      </w:r>
    </w:p>
    <w:p>
      <w:r>
        <w:t>The notebook references the Kaggle dataset “skin-cancer9-classesisic” and uses separate Train and Test directories. The nine class names are obtained from the training directory structure. The initial notebook output reports 2,239 training images and 118 test images. After Augmentor generates additional images, the notebook reports 4,500 generated JPG files and subsequently 6,739 files belonging to nine classes in the training directory.</w:t>
      </w:r>
    </w:p>
    <w:p>
      <w:r>
        <w:t>The notebook’s class-distribution function counts files directly within class folders. Generated images are placed in each class’s output subfolder; depending on the directory-counting logic, generated files may not be represented in the original class-count table in the same way as top-level images. Counts should therefore be checked carefully and reported separately as original versus augmented.</w:t>
      </w:r>
    </w:p>
    <w:p>
      <w:pPr>
        <w:pStyle w:val="Heading1"/>
      </w:pPr>
      <w:r>
        <w:t>5. Tools and Technologies</w:t>
      </w:r>
    </w:p>
    <w:p>
      <w:pPr>
        <w:pStyle w:val="ListBullet"/>
      </w:pPr>
      <w:r>
        <w:t>Python for implementation.</w:t>
      </w:r>
    </w:p>
    <w:p>
      <w:pPr>
        <w:pStyle w:val="ListBullet"/>
      </w:pPr>
      <w:r>
        <w:t>TensorFlow / Keras for dataset loading, CNN layers, training, and prediction.</w:t>
      </w:r>
    </w:p>
    <w:p>
      <w:pPr>
        <w:pStyle w:val="ListBullet"/>
      </w:pPr>
      <w:r>
        <w:t>NumPy and pandas for data handling.</w:t>
      </w:r>
    </w:p>
    <w:p>
      <w:pPr>
        <w:pStyle w:val="ListBullet"/>
      </w:pPr>
      <w:r>
        <w:t>Matplotlib and Seaborn for visualisation.</w:t>
      </w:r>
    </w:p>
    <w:p>
      <w:pPr>
        <w:pStyle w:val="ListBullet"/>
      </w:pPr>
      <w:r>
        <w:t>pathlib and os for file paths and directory inspection.</w:t>
      </w:r>
    </w:p>
    <w:p>
      <w:pPr>
        <w:pStyle w:val="ListBullet"/>
      </w:pPr>
      <w:r>
        <w:t>OpenCV (cv2) for reading and resizing a sample test image.</w:t>
      </w:r>
    </w:p>
    <w:p>
      <w:pPr>
        <w:pStyle w:val="ListBullet"/>
      </w:pPr>
      <w:r>
        <w:t>Augmentor for image augmentation.</w:t>
      </w:r>
    </w:p>
    <w:p>
      <w:pPr>
        <w:pStyle w:val="ListBullet"/>
      </w:pPr>
      <w:r>
        <w:t>Kaggle dataset as the source of labelled images.</w:t>
      </w:r>
    </w:p>
    <w:p>
      <w:pPr>
        <w:pStyle w:val="Heading1"/>
      </w:pPr>
      <w:r>
        <w:t>6. Methodology</w:t>
      </w:r>
    </w:p>
    <w:p>
      <w:pPr>
        <w:pStyle w:val="Heading2"/>
      </w:pPr>
      <w:r>
        <w:t>6.1 Dataset loading and image counting</w:t>
      </w:r>
    </w:p>
    <w:p>
      <w:r>
        <w:t>The project defines paths for the Train and Test directories and uses pathlib glob patterns to count JPG files in class subdirectories. This step checks that the expected dataset folders are available and gives an initial view of the amount of data. The reported initial counts are 2,239 training images and 118 test images.</w:t>
      </w:r>
    </w:p>
    <w:p>
      <w:pPr>
        <w:pStyle w:val="Heading2"/>
      </w:pPr>
      <w:r>
        <w:t>6.2 Exploratory visualisation</w:t>
      </w:r>
    </w:p>
    <w:p>
      <w:r>
        <w:t>The notebook uses image_dataset_from_directory to load batches of images resized to 180 × 180 pixels and labelled categorically. It then displays one image from each class. A class-distribution bar chart helps reveal whether some categories have many more examples than others. This matters because a model trained on imbalanced data may favour frequent classes and perform poorly on rare but important categories.</w:t>
      </w:r>
    </w:p>
    <w:p>
      <w:pPr>
        <w:pStyle w:val="Heading2"/>
      </w:pPr>
      <w:r>
        <w:t>6.3 Data augmentation</w:t>
      </w:r>
    </w:p>
    <w:p>
      <w:r>
        <w:t>Augmentor applies random rotations, with a probability of 0.7 and a maximum left/right rotation of 10 degrees, and generates 500 samples for each class. Augmentation can increase variation and reduce dependence on a small number of original images. However, augmented copies should be generated only from the training partition. If images derived from the same original image appear in both training and validation sets, validation results may be overly optimistic and no longer represent independent generalisation.</w:t>
      </w:r>
    </w:p>
    <w:p>
      <w:pPr>
        <w:pStyle w:val="Heading2"/>
      </w:pPr>
      <w:r>
        <w:t>6.4 Train-validation split</w:t>
      </w:r>
    </w:p>
    <w:p>
      <w:r>
        <w:t>The notebook uses an 80:20 validation split through image_dataset_from_directory, with a batch size of 32 and a fixed seed of 123. The recorded output shows 5,392 training files and 1,347 validation files from 6,739 files. For a more reliable evaluation, split original images into training, validation, and test partitions before augmentation, and keep the test set untouched until final evaluation.</w:t>
      </w:r>
    </w:p>
    <w:p>
      <w:pPr>
        <w:pStyle w:val="Heading2"/>
      </w:pPr>
      <w:r>
        <w:t>6.5 Image preprocessing</w:t>
      </w:r>
    </w:p>
    <w:p>
      <w:r>
        <w:t>The process function casts pixel values to float32 and divides them by 255, scaling typical 8-bit pixel values from 0–255 to approximately 0–1. Consistent scaling makes optimization easier. The notebook also adds a Rescaling(1./255) layer inside the model. Applying both steps would divide the values by 255 twice; choose one normalization location, not both.</w:t>
      </w:r>
    </w:p>
    <w:p>
      <w:pPr>
        <w:pStyle w:val="Heading2"/>
      </w:pPr>
      <w:r>
        <w:t>6.6 CNN architecture</w:t>
      </w:r>
    </w:p>
    <w:p>
      <w:r>
        <w:t>The model is built with Keras Sequential, which stacks layers in order. Its input shape is 180 × 180 × 3, representing image height, width, and RGB colour channels.</w:t>
      </w:r>
    </w:p>
    <w:p>
      <w:pPr>
        <w:pStyle w:val="ListBullet"/>
      </w:pPr>
      <w:r>
        <w:t>Rescaling: intended to scale image pixel values to a consistent numerical range.</w:t>
      </w:r>
    </w:p>
    <w:p>
      <w:pPr>
        <w:pStyle w:val="ListBullet"/>
      </w:pPr>
      <w:r>
        <w:t>Convolution layers with 32, 64, and 128 filters and 3 × 3 kernels: learn progressively richer patterns such as edges, textures, and lesion structures.</w:t>
      </w:r>
    </w:p>
    <w:p>
      <w:pPr>
        <w:pStyle w:val="ListBullet"/>
      </w:pPr>
      <w:r>
        <w:t>ReLU activation: introduces non-linearity, allowing the network to learn complex relationships.</w:t>
      </w:r>
    </w:p>
    <w:p>
      <w:pPr>
        <w:pStyle w:val="ListBullet"/>
      </w:pPr>
      <w:r>
        <w:t>Batch normalization: normalizes intermediate activations and can help stabilize training.</w:t>
      </w:r>
    </w:p>
    <w:p>
      <w:pPr>
        <w:pStyle w:val="ListBullet"/>
      </w:pPr>
      <w:r>
        <w:t>Max pooling with 2 × 2 windows: reduces spatial dimensions and computational load while retaining strong activations.</w:t>
      </w:r>
    </w:p>
    <w:p>
      <w:pPr>
        <w:pStyle w:val="ListBullet"/>
      </w:pPr>
      <w:r>
        <w:t>Dropout at 0.5 and 0.25: randomly disables a fraction of units during training to help reduce overfitting.</w:t>
      </w:r>
    </w:p>
    <w:p>
      <w:pPr>
        <w:pStyle w:val="ListBullet"/>
      </w:pPr>
      <w:r>
        <w:t>Flatten: converts the feature maps into a one-dimensional vector.</w:t>
      </w:r>
    </w:p>
    <w:p>
      <w:pPr>
        <w:pStyle w:val="ListBullet"/>
      </w:pPr>
      <w:r>
        <w:t>Dense layers with 128 and 64 units: combine extracted features for classification.</w:t>
      </w:r>
    </w:p>
    <w:p>
      <w:pPr>
        <w:pStyle w:val="ListBullet"/>
      </w:pPr>
      <w:r>
        <w:t>Softmax output with nine units: produces a probability-like score for each of the nine classes; the highest score is selected as the predicted class.</w:t>
      </w:r>
    </w:p>
    <w:p>
      <w:pPr>
        <w:pStyle w:val="Heading2"/>
      </w:pPr>
      <w:r>
        <w:t>6.7 Model compilation</w:t>
      </w:r>
    </w:p>
    <w:p>
      <w:r>
        <w:t>The model uses the Adam optimizer, categorical cross-entropy loss, and accuracy as a metric. Adam adapts parameter updates using estimates of gradients and their squared values. Categorical cross-entropy is suitable for multi-class classification when labels are represented as one-hot vectors. Accuracy alone is not sufficient for a medical classification task, especially when class counts are imbalanced.</w:t>
      </w:r>
    </w:p>
    <w:p>
      <w:pPr>
        <w:pStyle w:val="Heading2"/>
      </w:pPr>
      <w:r>
        <w:t>6.8 Model training</w:t>
      </w:r>
    </w:p>
    <w:p>
      <w:r>
        <w:t>The notebook trains for 20 epochs using model.fit with the training dataset and validation dataset. An epoch is one pass through the training data. Training accuracy measures performance on data used to update the model, whereas validation accuracy measures performance on held-out validation data and helps identify overfitting or other training problems.</w:t>
      </w:r>
    </w:p>
    <w:p>
      <w:pPr>
        <w:pStyle w:val="Heading1"/>
      </w:pPr>
      <w:r>
        <w:t>7. Results and Observations</w:t>
      </w:r>
    </w:p>
    <w:p>
      <w:r>
        <w:t>The supplied training log reports a highest training accuracy of approximately 0.9309 (93.09%) at epoch 18. The validation accuracy varies widely across epochs, from values near 13% to a peak of about 49.89% at epoch 5. Validation loss is unstable and reaches very large values in several epochs. These results show a substantial gap between training and validation behaviour.</w:t>
      </w:r>
    </w:p>
    <w:p>
      <w:r>
        <w:t>Interpretation: the high training accuracy should not be presented as proof that the model is accurate in practice. The unstable validation metrics suggest that the model is not generalizing reliably under the current pipeline. Possible issues to investigate include double normalization, data leakage caused by augmenting before splitting, class imbalance, inconsistent image colour-channel handling, and the small size of the original test set.</w:t>
      </w:r>
    </w:p>
    <w:p>
      <w:pPr>
        <w:pStyle w:val="Heading1"/>
      </w:pPr>
      <w:r>
        <w:t>8. Sample Prediction</w:t>
      </w:r>
    </w:p>
    <w:p>
      <w:r>
        <w:t>The notebook loads a test image from the melanoma folder, resizes it to 180 × 180, reshapes it to a batch of one image, and passes it to model.predict. The recorded output labels the example as “melanoma.” This is a single example only; it does not measure overall model performance or establish that the prediction is medically correct.</w:t>
      </w:r>
    </w:p>
    <w:p>
      <w:pPr>
        <w:pStyle w:val="Heading1"/>
      </w:pPr>
      <w:r>
        <w:t>9. Evaluation Improvements</w:t>
      </w:r>
    </w:p>
    <w:p>
      <w:pPr>
        <w:pStyle w:val="ListBullet"/>
      </w:pPr>
      <w:r>
        <w:t>Split original images into training, validation, and test sets before applying augmentation; keep patient-level separation where patient identifiers are available.</w:t>
      </w:r>
    </w:p>
    <w:p>
      <w:pPr>
        <w:pStyle w:val="ListBullet"/>
      </w:pPr>
      <w:r>
        <w:t>Use exactly one normalization method. If the dataset pipeline divides by 255, remove the model's Rescaling layer, or keep the layer and feed unscaled pixel values.</w:t>
      </w:r>
    </w:p>
    <w:p>
      <w:pPr>
        <w:pStyle w:val="ListBullet"/>
      </w:pPr>
      <w:r>
        <w:t>Ensure training and inference use the same colour-channel order and preprocessing. OpenCV reads images in BGR order, whereas common Keras image loading uses RGB; convert BGR to RGB before prediction when needed.</w:t>
      </w:r>
    </w:p>
    <w:p>
      <w:pPr>
        <w:pStyle w:val="ListBullet"/>
      </w:pPr>
      <w:r>
        <w:t>Evaluate the untouched test set and report a confusion matrix, per-class precision, recall, F1-score, and support.</w:t>
      </w:r>
    </w:p>
    <w:p>
      <w:pPr>
        <w:pStyle w:val="ListBullet"/>
      </w:pPr>
      <w:r>
        <w:t>Report melanoma-specific recall/sensitivity and precision, as well as specificity where appropriate. In a medical context, false negatives and false positives have different implications.</w:t>
      </w:r>
    </w:p>
    <w:p>
      <w:pPr>
        <w:pStyle w:val="ListBullet"/>
      </w:pPr>
      <w:r>
        <w:t>Inspect class-wise results and consider class weights or carefully designed training-only augmentation.</w:t>
      </w:r>
    </w:p>
    <w:p>
      <w:pPr>
        <w:pStyle w:val="ListBullet"/>
      </w:pPr>
      <w:r>
        <w:t>Use callbacks such as ModelCheckpoint and EarlyStopping based on validation loss, after the data pipeline is corrected.</w:t>
      </w:r>
    </w:p>
    <w:p>
      <w:pPr>
        <w:pStyle w:val="ListBullet"/>
      </w:pPr>
      <w:r>
        <w:t>Consider transfer learning with a pretrained image model and compare results against the baseline CNN.</w:t>
      </w:r>
    </w:p>
    <w:p>
      <w:pPr>
        <w:pStyle w:val="Heading1"/>
      </w:pPr>
      <w:r>
        <w:t>10. Limitations</w:t>
      </w:r>
    </w:p>
    <w:p>
      <w:pPr>
        <w:pStyle w:val="ListBullet"/>
      </w:pPr>
      <w:r>
        <w:t>The recorded test directory contains only 118 images, so estimates may be uncertain and sensitive to class composition.</w:t>
      </w:r>
    </w:p>
    <w:p>
      <w:pPr>
        <w:pStyle w:val="ListBullet"/>
      </w:pPr>
      <w:r>
        <w:t>The supplied logs show unstable validation performance; reliable generalization has not been demonstrated.</w:t>
      </w:r>
    </w:p>
    <w:p>
      <w:pPr>
        <w:pStyle w:val="ListBullet"/>
      </w:pPr>
      <w:r>
        <w:t>The notebook output does not include a complete independent test-set evaluation, confusion matrix, or per-class metrics.</w:t>
      </w:r>
    </w:p>
    <w:p>
      <w:pPr>
        <w:pStyle w:val="ListBullet"/>
      </w:pPr>
      <w:r>
        <w:t>The sample prediction is not sufficient to claim clinical accuracy.</w:t>
      </w:r>
    </w:p>
    <w:p>
      <w:pPr>
        <w:pStyle w:val="ListBullet"/>
      </w:pPr>
      <w:r>
        <w:t>Dataset labels and image quality may not represent all skin tones, devices, clinical settings, or patient populations.</w:t>
      </w:r>
    </w:p>
    <w:p>
      <w:pPr>
        <w:pStyle w:val="Heading1"/>
      </w:pPr>
      <w:r>
        <w:t>11. Conclusion</w:t>
      </w:r>
    </w:p>
    <w:p>
      <w:r>
        <w:t>This project demonstrates the main stages of a CNN-based skin-lesion image-classification workflow, including dataset exploration, augmentation, preprocessing, architecture design, training, and sample inference. The model reaches approximately 93.09% training accuracy in the supplied log, but validation results are highly unstable and substantially lower. The current implementation should therefore be treated as an educational prototype rather than a reliable melanoma detector. Correcting preprocessing and data-splitting issues, followed by independent evaluation with class-specific metrics, is essential before drawing stronger conclusions.</w:t>
      </w:r>
    </w:p>
    <w:p>
      <w:pPr>
        <w:pStyle w:val="Heading1"/>
      </w:pPr>
      <w:r>
        <w:t>12. Future Scope</w:t>
      </w:r>
    </w:p>
    <w:p>
      <w:pPr>
        <w:pStyle w:val="ListBullet"/>
      </w:pPr>
      <w:r>
        <w:t>Use a larger, diverse, independently labelled dataset with patient-level separation.</w:t>
      </w:r>
    </w:p>
    <w:p>
      <w:pPr>
        <w:pStyle w:val="ListBullet"/>
      </w:pPr>
      <w:r>
        <w:t>Compare the baseline CNN with transfer-learning models such as MobileNet, EfficientNet, or ResNet.</w:t>
      </w:r>
    </w:p>
    <w:p>
      <w:pPr>
        <w:pStyle w:val="ListBullet"/>
      </w:pPr>
      <w:r>
        <w:t>Add Grad-CAM visualisations to investigate which image regions influence a prediction.</w:t>
      </w:r>
    </w:p>
    <w:p>
      <w:pPr>
        <w:pStyle w:val="ListBullet"/>
      </w:pPr>
      <w:r>
        <w:t>Build a simple demonstration interface that clearly displays the predicted dataset class and confidence while warning that it is not a diagnosis.</w:t>
      </w:r>
    </w:p>
    <w:p>
      <w:pPr>
        <w:pStyle w:val="ListBullet"/>
      </w:pPr>
      <w:r>
        <w:t>Conduct external validation and clinical review before considering any healthcare deployment.</w:t>
      </w:r>
    </w:p>
    <w:p>
      <w:pPr>
        <w:pStyle w:val="Heading1"/>
      </w:pPr>
      <w:r>
        <w:t>References</w:t>
      </w:r>
    </w:p>
    <w:p>
      <w:r>
        <w:t>1. Kaggle dataset referenced in the notebook: Skin Cancer 9 Classes / ISIC dataset. https://www.kaggle.com/datasets/nodoubttome/skin-cancer9-classesisic</w:t>
      </w:r>
    </w:p>
    <w:p>
      <w:r>
        <w:t>2. TensorFlow documentation: Image loading and preprocessing. https://www.tensorflow.org/api_docs/python/tf/keras/utils/image_dataset_from_directory</w:t>
      </w:r>
    </w:p>
    <w:p>
      <w:r>
        <w:t>3. TensorFlow documentation: Convolutional layers. https://www.tensorflow.org/api_docs/python/tf/keras/layers/Conv2D</w:t>
      </w:r>
    </w:p>
    <w:p>
      <w:r>
        <w:t>4. Keras documentation: Model training APIs. https://keras.io/api/models/model_training_apis/</w:t>
      </w:r>
    </w:p>
    <w:p>
      <w:pPr>
        <w:pStyle w:val="Heading1"/>
      </w:pPr>
      <w:r>
        <w:t>Appendix A: Project Workflow Summary</w:t>
      </w:r>
    </w:p>
    <w:p>
      <w:r>
        <w:t>Dataset loading → image-count and class inspection → representative-image visualisation → training-only augmentation → train/validation split → preprocessing → CNN architecture → compilation → 20-epoch training → learning-curve inspection → sample prediction → recommended independent evaluation.</w:t>
      </w:r>
    </w:p>
    <w:p>
      <w:pPr>
        <w:pStyle w:val="Heading1"/>
      </w:pPr>
      <w:r>
        <w:t>Appendix B: Important Academic Note</w:t>
      </w:r>
    </w:p>
    <w:p>
      <w:r>
        <w:t>The report distinguishes the results recorded in the supplied notebook from recommended improvements. The reported metrics are transcribed from that notebook and have not been independently reproduced. No claim of clinical readiness or diagnostic accuracy is made.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cu_logo.png"/><Relationship Id="rId11" Type="http://schemas.openxmlformats.org/officeDocument/2006/relationships/image" Target="media/naac.png"/><Relationship Id="rId12" Type="http://schemas.openxmlformats.org/officeDocument/2006/relationships/image" Target="media/cu_emble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