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56"/>
          <w:szCs w:val="56"/>
        </w:rPr>
        <w:t xml:space="preserve">Heimdall</w:t>
      </w:r>
    </w:p>
    <w:p>
      <w:pPr>
        <w:spacing w:after="60"/>
        <w:jc w:val="center"/>
      </w:pPr>
      <w:r>
        <w:rPr>
          <w:color w:val="444444"/>
          <w:sz w:val="28"/>
          <w:szCs w:val="28"/>
        </w:rPr>
        <w:t xml:space="preserve">Monocular Satellite Elevation &amp; 3D Terrain Reconstruction</w:t>
      </w:r>
    </w:p>
    <w:p>
      <w:pPr>
        <w:spacing w:after="400"/>
        <w:jc w:val="center"/>
      </w:pPr>
      <w:r>
        <w:rPr>
          <w:i/>
          <w:iCs/>
          <w:color w:val="666666"/>
          <w:sz w:val="22"/>
          <w:szCs w:val="22"/>
        </w:rPr>
        <w:t xml:space="preserve">Reference Report for Presentation Building</w:t>
      </w:r>
    </w:p>
    <w:p>
      <w:pPr>
        <w:pStyle w:val="Heading1"/>
        <w:spacing w:after="200" w:before="400"/>
      </w:pPr>
      <w:r>
        <w:t xml:space="preserve">1. What Heimdall Is (Elevator Pitch)</w:t>
      </w:r>
    </w:p>
    <w:p>
      <w:pPr>
        <w:spacing w:after="160"/>
      </w:pPr>
      <w:r>
        <w:t xml:space="preserve">Heimdall takes a single RGB satellite or aerial photo — no stereo pairs, no LiDAR flight — and produces a high-resolution 3D elevation model of the terrain: building heights, slopes, ground level, all of it.</w:t>
      </w:r>
    </w:p>
    <w:p>
      <w:pPr>
        <w:spacing w:after="160"/>
      </w:pPr>
      <w:r>
        <w:rPr>
          <w:b/>
          <w:bCs/>
        </w:rPr>
        <w:t xml:space="preserve">Why this is hard normally: getting 3D terrain today requires either:</w:t>
      </w:r>
    </w:p>
    <w:p>
      <w:pPr>
        <w:pStyle w:val="ListParagraph"/>
        <w:numPr>
          <w:ilvl w:val="0"/>
          <w:numId w:val="2"/>
        </w:numPr>
        <w:spacing w:after="80"/>
      </w:pPr>
      <w:r>
        <w:t xml:space="preserve">Multi-view photogrammetry / stereoscopy — multiple satellite passes at different angles, expensive and slow</w:t>
      </w:r>
    </w:p>
    <w:p>
      <w:pPr>
        <w:pStyle w:val="ListParagraph"/>
        <w:numPr>
          <w:ilvl w:val="0"/>
          <w:numId w:val="2"/>
        </w:numPr>
        <w:spacing w:after="80"/>
      </w:pPr>
      <w:r>
        <w:t xml:space="preserve">Airborne LiDAR — flying a plane with a laser scanner over the area — very expensive, weather-dependent, and impossible in denied/hostile regions</w:t>
      </w:r>
    </w:p>
    <w:p>
      <w:pPr>
        <w:spacing w:after="160"/>
      </w:pPr>
      <w:r>
        <w:t xml:space="preserve">Heimdall replaces both with a single image and a trained neural network.</w:t>
      </w:r>
    </w:p>
    <w:p>
      <w:pPr>
        <w:spacing w:after="160"/>
      </w:pPr>
      <w:r>
        <w:rPr>
          <w:b/>
          <w:bCs/>
        </w:rPr>
        <w:t xml:space="preserve">Core technical idea: combine a huge, general-purpose, frozen depth-perception model with a small, custom-trained calibration network that converts "relative" depth into real physical meters.</w:t>
      </w:r>
    </w:p>
    <w:p>
      <w:pPr>
        <w:pStyle w:val="Heading1"/>
        <w:spacing w:after="200" w:before="400"/>
      </w:pPr>
      <w:r>
        <w:t xml:space="preserve">2. The Complete Pipeline (Input → Processing → Output)</w:t>
      </w:r>
    </w:p>
    <w:p>
      <w:pPr>
        <w:spacing w:after="160"/>
      </w:pPr>
      <w:r>
        <w:t xml:space="preserve">The diagram below shows the full flow from a single input image to the final 3D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D9D9" w:val="clear"/>
            <w:tcMar>
              <w:top w:type="dxa" w:w="120"/>
              <w:left w:type="dxa" w:w="160"/>
              <w:bottom w:type="dxa" w:w="120"/>
              <w:right w:type="dxa" w:w="160"/>
            </w:tcMar>
          </w:tcPr>
          <w:p>
            <w:r>
              <w:rPr>
                <w:b/>
                <w:bCs/>
                <w:sz w:val="22"/>
                <w:szCs w:val="22"/>
              </w:rPr>
              <w:t xml:space="preserve">1.  Input: RGB satellite image</w:t>
            </w:r>
          </w:p>
          <w:p>
            <w:pPr>
              <w:spacing w:before="40"/>
            </w:pPr>
            <w:r>
              <w:rPr>
                <w:sz w:val="19"/>
                <w:szCs w:val="19"/>
              </w:rPr>
              <w:t xml:space="preserve">A single overhead photo. If GeoTIFF, CRS / affine transform / ground sample distance (GSD) are extracted via rasterio.</w:t>
            </w:r>
          </w:p>
        </w:tc>
      </w:tr>
    </w:tbl>
    <w:p>
      <w:pPr>
        <w:spacing w:after="40" w:before="40"/>
        <w:jc w:val="center"/>
      </w:pPr>
      <w:r>
        <w:rPr>
          <w:b/>
          <w:bCs/>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6DCE5" w:val="clear"/>
            <w:tcMar>
              <w:top w:type="dxa" w:w="120"/>
              <w:left w:type="dxa" w:w="160"/>
              <w:bottom w:type="dxa" w:w="120"/>
              <w:right w:type="dxa" w:w="160"/>
            </w:tcMar>
          </w:tcPr>
          <w:p>
            <w:r>
              <w:rPr>
                <w:b/>
                <w:bCs/>
                <w:sz w:val="22"/>
                <w:szCs w:val="22"/>
              </w:rPr>
              <w:t xml:space="preserve">2.  DA3 backbone — FROZEN (~335M params)</w:t>
            </w:r>
          </w:p>
          <w:p>
            <w:pPr>
              <w:spacing w:before="40"/>
            </w:pPr>
            <w:r>
              <w:rPr>
                <w:sz w:val="19"/>
                <w:szCs w:val="19"/>
              </w:rPr>
              <w:t xml:space="preserve">DINOv2 ViT encoder (RoPE + QK-norm + alternating attention) → DualDPT decoder (top-down multi-scale fusion) → relative depth map [0,1].</w:t>
            </w:r>
          </w:p>
        </w:tc>
      </w:tr>
    </w:tbl>
    <w:p>
      <w:pPr>
        <w:spacing w:after="40" w:before="40"/>
        <w:jc w:val="center"/>
      </w:pPr>
      <w:r>
        <w:rPr>
          <w:b/>
          <w:bCs/>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r>
              <w:rPr>
                <w:b/>
                <w:bCs/>
                <w:sz w:val="22"/>
                <w:szCs w:val="22"/>
              </w:rPr>
              <w:t xml:space="preserve">3.  ASPP domain adaptation head — TRAINABLE</w:t>
            </w:r>
          </w:p>
          <w:p>
            <w:pPr>
              <w:spacing w:before="40"/>
            </w:pPr>
            <w:r>
              <w:rPr>
                <w:sz w:val="19"/>
                <w:szCs w:val="19"/>
              </w:rPr>
              <w:t xml:space="preserve">Fuses RGB + relative depth (4 channels) → dilated convs at rates 1, 6, 12, 18 + global pooling → regresses scale map S(x,y) and shift map T(x,y).</w:t>
            </w:r>
          </w:p>
        </w:tc>
      </w:tr>
    </w:tbl>
    <w:p>
      <w:pPr>
        <w:spacing w:after="40" w:before="40"/>
        <w:jc w:val="center"/>
      </w:pPr>
      <w:r>
        <w:rPr>
          <w:b/>
          <w:bCs/>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AD3" w:val="clear"/>
            <w:tcMar>
              <w:top w:type="dxa" w:w="120"/>
              <w:left w:type="dxa" w:w="160"/>
              <w:bottom w:type="dxa" w:w="120"/>
              <w:right w:type="dxa" w:w="160"/>
            </w:tcMar>
          </w:tcPr>
          <w:p>
            <w:r>
              <w:rPr>
                <w:b/>
                <w:bCs/>
                <w:sz w:val="22"/>
                <w:szCs w:val="22"/>
              </w:rPr>
              <w:t xml:space="preserve">4.  Affine composition</w:t>
            </w:r>
          </w:p>
          <w:p>
            <w:pPr>
              <w:spacing w:before="40"/>
            </w:pPr>
            <w:r>
              <w:rPr>
                <w:sz w:val="19"/>
                <w:szCs w:val="19"/>
              </w:rPr>
              <w:t xml:space="preserve">Height(x,y) = ReLU( S(x,y) * Depth(x,y) + T(x,y) ). Per-pixel, non-negative physical elevation.</w:t>
            </w:r>
          </w:p>
        </w:tc>
      </w:tr>
    </w:tbl>
    <w:p>
      <w:pPr>
        <w:spacing w:after="40" w:before="40"/>
        <w:jc w:val="center"/>
      </w:pPr>
      <w:r>
        <w:rPr>
          <w:b/>
          <w:bCs/>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5CD" w:val="clear"/>
            <w:tcMar>
              <w:top w:type="dxa" w:w="120"/>
              <w:left w:type="dxa" w:w="160"/>
              <w:bottom w:type="dxa" w:w="120"/>
              <w:right w:type="dxa" w:w="160"/>
            </w:tcMar>
          </w:tcPr>
          <w:p>
            <w:r>
              <w:rPr>
                <w:b/>
                <w:bCs/>
                <w:sz w:val="22"/>
                <w:szCs w:val="22"/>
              </w:rPr>
              <w:t xml:space="preserve">5.  Output: metric elevation</w:t>
            </w:r>
          </w:p>
          <w:p>
            <w:pPr>
              <w:spacing w:before="40"/>
            </w:pPr>
            <w:r>
              <w:rPr>
                <w:sz w:val="19"/>
                <w:szCs w:val="19"/>
              </w:rPr>
              <w:t xml:space="preserve">GeoTIFF (32-bit float, CRS preserved), 16-bit heightmap PNG, raw .npy array, colorized preview.</w:t>
            </w:r>
          </w:p>
        </w:tc>
      </w:tr>
    </w:tbl>
    <w:p>
      <w:pPr>
        <w:spacing w:after="40" w:before="40"/>
        <w:jc w:val="center"/>
      </w:pPr>
      <w:r>
        <w:rPr>
          <w:b/>
          <w:bCs/>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CE5CD" w:val="clear"/>
            <w:tcMar>
              <w:top w:type="dxa" w:w="120"/>
              <w:left w:type="dxa" w:w="160"/>
              <w:bottom w:type="dxa" w:w="120"/>
              <w:right w:type="dxa" w:w="160"/>
            </w:tcMar>
          </w:tcPr>
          <w:p>
            <w:r>
              <w:rPr>
                <w:b/>
                <w:bCs/>
                <w:sz w:val="22"/>
                <w:szCs w:val="22"/>
              </w:rPr>
              <w:t xml:space="preserve">6.  3D mesh + WebGIS viewer</w:t>
            </w:r>
          </w:p>
          <w:p>
            <w:pPr>
              <w:spacing w:before="40"/>
            </w:pPr>
            <w:r>
              <w:rPr>
                <w:sz w:val="19"/>
                <w:szCs w:val="19"/>
              </w:rPr>
              <w:t xml:space="preserve">Delaunay triangulation → textured PLY/OBJ mesh → Next.js + React Three Fiber interactive viewer (flythrough, slope heatmap, elevation measurement).</w:t>
            </w:r>
          </w:p>
        </w:tc>
      </w:tr>
    </w:tbl>
    <w:p>
      <w:r>
        <w:br w:type="page"/>
      </w:r>
    </w:p>
    <w:p>
      <w:pPr>
        <w:pStyle w:val="Heading2"/>
        <w:spacing w:after="150" w:before="300"/>
      </w:pPr>
      <w:r>
        <w:t xml:space="preserve">Stage-by-stage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gridCol w:w="1840"/>
      </w:tblGrid>
      <w:tr>
        <w:trPr>
          <w:tblHeader/>
        </w:trPr>
        <w:tc>
          <w:tcPr>
            <w:tcW w:type="dxa" w:w="2000"/>
            <w:shd w:fill="1F3864" w:val="clear"/>
          </w:tcPr>
          <w:p>
            <w:r>
              <w:rPr>
                <w:b/>
                <w:bCs/>
                <w:color w:val="FFFFFF"/>
                <w:sz w:val="20"/>
                <w:szCs w:val="20"/>
              </w:rPr>
              <w:t xml:space="preserve">Stage</w:t>
            </w:r>
          </w:p>
        </w:tc>
        <w:tc>
          <w:tcPr>
            <w:tcW w:type="dxa" w:w="6600"/>
            <w:shd w:fill="1F3864" w:val="clear"/>
          </w:tcPr>
          <w:p>
            <w:r>
              <w:rPr>
                <w:b/>
                <w:bCs/>
                <w:color w:val="FFFFFF"/>
                <w:sz w:val="20"/>
                <w:szCs w:val="20"/>
              </w:rPr>
              <w:t xml:space="preserve">What happens</w:t>
            </w:r>
          </w:p>
        </w:tc>
        <w:tc>
          <w:tcPr>
            <w:tcW w:type="dxa" w:w="1840"/>
            <w:shd w:fill="1F3864" w:val="clear"/>
          </w:tcPr>
          <w:p>
            <w:r>
              <w:rPr>
                <w:b/>
                <w:bCs/>
                <w:color w:val="FFFFFF"/>
                <w:sz w:val="20"/>
                <w:szCs w:val="20"/>
              </w:rPr>
              <w:t xml:space="preserve">Trainable?</w:t>
            </w:r>
          </w:p>
        </w:tc>
      </w:tr>
      <w:tr>
        <w:tc>
          <w:tcPr>
            <w:tcW w:type="dxa" w:w="2000"/>
            <w:shd w:fill="FFFFFF" w:val="clear"/>
          </w:tcPr>
          <w:p>
            <w:r>
              <w:rPr>
                <w:sz w:val="20"/>
                <w:szCs w:val="20"/>
              </w:rPr>
              <w:t xml:space="preserve">1. Ingestion</w:t>
            </w:r>
          </w:p>
        </w:tc>
        <w:tc>
          <w:tcPr>
            <w:tcW w:type="dxa" w:w="6600"/>
            <w:shd w:fill="FFFFFF" w:val="clear"/>
          </w:tcPr>
          <w:p>
            <w:r>
              <w:rPr>
                <w:sz w:val="20"/>
                <w:szCs w:val="20"/>
              </w:rPr>
              <w:t xml:space="preserve">Load image; extract CRS, affine transform, GSD if GeoTIFF</w:t>
            </w:r>
          </w:p>
        </w:tc>
        <w:tc>
          <w:tcPr>
            <w:tcW w:type="dxa" w:w="1840"/>
            <w:shd w:fill="FFFFFF" w:val="clear"/>
          </w:tcPr>
          <w:p>
            <w:r>
              <w:rPr>
                <w:sz w:val="20"/>
                <w:szCs w:val="20"/>
              </w:rPr>
              <w:t xml:space="preserve">No (utility code)</w:t>
            </w:r>
          </w:p>
        </w:tc>
      </w:tr>
      <w:tr>
        <w:tc>
          <w:tcPr>
            <w:tcW w:type="dxa" w:w="2000"/>
            <w:shd w:fill="F2F5FA" w:val="clear"/>
          </w:tcPr>
          <w:p>
            <w:r>
              <w:rPr>
                <w:sz w:val="20"/>
                <w:szCs w:val="20"/>
              </w:rPr>
              <w:t xml:space="preserve">2. DA3 backbone</w:t>
            </w:r>
          </w:p>
        </w:tc>
        <w:tc>
          <w:tcPr>
            <w:tcW w:type="dxa" w:w="6600"/>
            <w:shd w:fill="F2F5FA" w:val="clear"/>
          </w:tcPr>
          <w:p>
            <w:r>
              <w:rPr>
                <w:sz w:val="20"/>
                <w:szCs w:val="20"/>
              </w:rPr>
              <w:t xml:space="preserve">Frozen foundation model estimates relative depth</w:t>
            </w:r>
          </w:p>
        </w:tc>
        <w:tc>
          <w:tcPr>
            <w:tcW w:type="dxa" w:w="1840"/>
            <w:shd w:fill="F2F5FA" w:val="clear"/>
          </w:tcPr>
          <w:p>
            <w:r>
              <w:rPr>
                <w:sz w:val="20"/>
                <w:szCs w:val="20"/>
              </w:rPr>
              <w:t xml:space="preserve">No — frozen</w:t>
            </w:r>
          </w:p>
        </w:tc>
      </w:tr>
      <w:tr>
        <w:tc>
          <w:tcPr>
            <w:tcW w:type="dxa" w:w="2000"/>
            <w:shd w:fill="FFFFFF" w:val="clear"/>
          </w:tcPr>
          <w:p>
            <w:r>
              <w:rPr>
                <w:sz w:val="20"/>
                <w:szCs w:val="20"/>
              </w:rPr>
              <w:t xml:space="preserve">3. ASPP head</w:t>
            </w:r>
          </w:p>
        </w:tc>
        <w:tc>
          <w:tcPr>
            <w:tcW w:type="dxa" w:w="6600"/>
            <w:shd w:fill="FFFFFF" w:val="clear"/>
          </w:tcPr>
          <w:p>
            <w:r>
              <w:rPr>
                <w:sz w:val="20"/>
                <w:szCs w:val="20"/>
              </w:rPr>
              <w:t xml:space="preserve">Learns to convert relative depth into real metric elevation, per pixel</w:t>
            </w:r>
          </w:p>
        </w:tc>
        <w:tc>
          <w:tcPr>
            <w:tcW w:type="dxa" w:w="1840"/>
            <w:shd w:fill="FFFFFF" w:val="clear"/>
          </w:tcPr>
          <w:p>
            <w:r>
              <w:rPr>
                <w:sz w:val="20"/>
                <w:szCs w:val="20"/>
              </w:rPr>
              <w:t xml:space="preserve">Yes — only trainable part</w:t>
            </w:r>
          </w:p>
        </w:tc>
      </w:tr>
      <w:tr>
        <w:tc>
          <w:tcPr>
            <w:tcW w:type="dxa" w:w="2000"/>
            <w:shd w:fill="F2F5FA" w:val="clear"/>
          </w:tcPr>
          <w:p>
            <w:r>
              <w:rPr>
                <w:sz w:val="20"/>
                <w:szCs w:val="20"/>
              </w:rPr>
              <w:t xml:space="preserve">4. Affine composition</w:t>
            </w:r>
          </w:p>
        </w:tc>
        <w:tc>
          <w:tcPr>
            <w:tcW w:type="dxa" w:w="6600"/>
            <w:shd w:fill="F2F5FA" w:val="clear"/>
          </w:tcPr>
          <w:p>
            <w:r>
              <w:rPr>
                <w:sz w:val="20"/>
                <w:szCs w:val="20"/>
              </w:rPr>
              <w:t xml:space="preserve">Combines scale + shift + depth into final height, clips negatives</w:t>
            </w:r>
          </w:p>
        </w:tc>
        <w:tc>
          <w:tcPr>
            <w:tcW w:type="dxa" w:w="1840"/>
            <w:shd w:fill="F2F5FA" w:val="clear"/>
          </w:tcPr>
          <w:p>
            <w:r>
              <w:rPr>
                <w:sz w:val="20"/>
                <w:szCs w:val="20"/>
              </w:rPr>
              <w:t xml:space="preserve">N/A (a formula)</w:t>
            </w:r>
          </w:p>
        </w:tc>
      </w:tr>
      <w:tr>
        <w:tc>
          <w:tcPr>
            <w:tcW w:type="dxa" w:w="2000"/>
            <w:shd w:fill="FFFFFF" w:val="clear"/>
          </w:tcPr>
          <w:p>
            <w:r>
              <w:rPr>
                <w:sz w:val="20"/>
                <w:szCs w:val="20"/>
              </w:rPr>
              <w:t xml:space="preserve">5. Calibration fallback</w:t>
            </w:r>
          </w:p>
        </w:tc>
        <w:tc>
          <w:tcPr>
            <w:tcW w:type="dxa" w:w="6600"/>
            <w:shd w:fill="FFFFFF" w:val="clear"/>
          </w:tcPr>
          <w:p>
            <w:r>
              <w:rPr>
                <w:sz w:val="20"/>
                <w:szCs w:val="20"/>
              </w:rPr>
              <w:t xml:space="preserve">RANSAC vs. coarse DEM, or vehicle-size heuristics, if no trained head</w:t>
            </w:r>
          </w:p>
        </w:tc>
        <w:tc>
          <w:tcPr>
            <w:tcW w:type="dxa" w:w="1840"/>
            <w:shd w:fill="FFFFFF" w:val="clear"/>
          </w:tcPr>
          <w:p>
            <w:r>
              <w:rPr>
                <w:sz w:val="20"/>
                <w:szCs w:val="20"/>
              </w:rPr>
              <w:t xml:space="preserve">No (classical methods)</w:t>
            </w:r>
          </w:p>
        </w:tc>
      </w:tr>
      <w:tr>
        <w:tc>
          <w:tcPr>
            <w:tcW w:type="dxa" w:w="2000"/>
            <w:shd w:fill="F2F5FA" w:val="clear"/>
          </w:tcPr>
          <w:p>
            <w:r>
              <w:rPr>
                <w:sz w:val="20"/>
                <w:szCs w:val="20"/>
              </w:rPr>
              <w:t xml:space="preserve">6. Output export</w:t>
            </w:r>
          </w:p>
        </w:tc>
        <w:tc>
          <w:tcPr>
            <w:tcW w:type="dxa" w:w="6600"/>
            <w:shd w:fill="F2F5FA" w:val="clear"/>
          </w:tcPr>
          <w:p>
            <w:r>
              <w:rPr>
                <w:sz w:val="20"/>
                <w:szCs w:val="20"/>
              </w:rPr>
              <w:t xml:space="preserve">GeoTIFF, 16-bit PNG heightmap, raw float array</w:t>
            </w:r>
          </w:p>
        </w:tc>
        <w:tc>
          <w:tcPr>
            <w:tcW w:type="dxa" w:w="1840"/>
            <w:shd w:fill="F2F5FA" w:val="clear"/>
          </w:tcPr>
          <w:p>
            <w:r>
              <w:rPr>
                <w:sz w:val="20"/>
                <w:szCs w:val="20"/>
              </w:rPr>
              <w:t xml:space="preserve">No</w:t>
            </w:r>
          </w:p>
        </w:tc>
      </w:tr>
      <w:tr>
        <w:tc>
          <w:tcPr>
            <w:tcW w:type="dxa" w:w="2000"/>
            <w:shd w:fill="FFFFFF" w:val="clear"/>
          </w:tcPr>
          <w:p>
            <w:r>
              <w:rPr>
                <w:sz w:val="20"/>
                <w:szCs w:val="20"/>
              </w:rPr>
              <w:t xml:space="preserve">7. 3D meshing</w:t>
            </w:r>
          </w:p>
        </w:tc>
        <w:tc>
          <w:tcPr>
            <w:tcW w:type="dxa" w:w="6600"/>
            <w:shd w:fill="FFFFFF" w:val="clear"/>
          </w:tcPr>
          <w:p>
            <w:r>
              <w:rPr>
                <w:sz w:val="20"/>
                <w:szCs w:val="20"/>
              </w:rPr>
              <w:t xml:space="preserve">Convert heightmap into a textured 3D mesh</w:t>
            </w:r>
          </w:p>
        </w:tc>
        <w:tc>
          <w:tcPr>
            <w:tcW w:type="dxa" w:w="1840"/>
            <w:shd w:fill="FFFFFF" w:val="clear"/>
          </w:tcPr>
          <w:p>
            <w:r>
              <w:rPr>
                <w:sz w:val="20"/>
                <w:szCs w:val="20"/>
              </w:rPr>
              <w:t xml:space="preserve">No (computational geometry)</w:t>
            </w:r>
          </w:p>
        </w:tc>
      </w:tr>
      <w:tr>
        <w:tc>
          <w:tcPr>
            <w:tcW w:type="dxa" w:w="2000"/>
            <w:shd w:fill="F2F5FA" w:val="clear"/>
          </w:tcPr>
          <w:p>
            <w:r>
              <w:rPr>
                <w:sz w:val="20"/>
                <w:szCs w:val="20"/>
              </w:rPr>
              <w:t xml:space="preserve">8. Web viewer</w:t>
            </w:r>
          </w:p>
        </w:tc>
        <w:tc>
          <w:tcPr>
            <w:tcW w:type="dxa" w:w="6600"/>
            <w:shd w:fill="F2F5FA" w:val="clear"/>
          </w:tcPr>
          <w:p>
            <w:r>
              <w:rPr>
                <w:sz w:val="20"/>
                <w:szCs w:val="20"/>
              </w:rPr>
              <w:t xml:space="preserve">Flythrough, slope hazard heatmap, elevation measurement</w:t>
            </w:r>
          </w:p>
        </w:tc>
        <w:tc>
          <w:tcPr>
            <w:tcW w:type="dxa" w:w="1840"/>
            <w:shd w:fill="F2F5FA" w:val="clear"/>
          </w:tcPr>
          <w:p>
            <w:r>
              <w:rPr>
                <w:sz w:val="20"/>
                <w:szCs w:val="20"/>
              </w:rPr>
              <w:t xml:space="preserve">No (frontend)</w:t>
            </w:r>
          </w:p>
        </w:tc>
      </w:tr>
    </w:tbl>
    <w:p>
      <w:pPr>
        <w:pStyle w:val="Heading1"/>
        <w:spacing w:after="200" w:before="400"/>
      </w:pPr>
      <w:r>
        <w:t xml:space="preserve">3. Deep Dive: The Frozen Backbone (Depth Anything V3 Metric-Large)</w:t>
      </w:r>
    </w:p>
    <w:p>
      <w:pPr>
        <w:spacing w:after="160"/>
      </w:pPr>
      <w:r>
        <w:t xml:space="preserve">This is the part of the system that does zero learning during Heimdall's training — but it's doing the heavy lifting of scene understanding.</w:t>
      </w:r>
    </w:p>
    <w:p>
      <w:pPr>
        <w:pStyle w:val="Heading2"/>
        <w:spacing w:after="150" w:before="300"/>
      </w:pPr>
      <w:r>
        <w:t xml:space="preserve">3.1 Why frozen, not fine-tuned</w:t>
      </w:r>
    </w:p>
    <w:p>
      <w:pPr>
        <w:pStyle w:val="ListParagraph"/>
        <w:numPr>
          <w:ilvl w:val="0"/>
          <w:numId w:val="2"/>
        </w:numPr>
        <w:spacing w:after="80"/>
      </w:pPr>
      <w:r>
        <w:t xml:space="preserve">DA3 has ~335 million parameters, pretrained on 60+ million images, and has learned rich, general priors about depth, shadow, occlusion, and perspective.</w:t>
      </w:r>
    </w:p>
    <w:p>
      <w:pPr>
        <w:pStyle w:val="ListParagraph"/>
        <w:numPr>
          <w:ilvl w:val="0"/>
          <w:numId w:val="2"/>
        </w:numPr>
        <w:spacing w:after="80"/>
      </w:pPr>
      <w:r>
        <w:t xml:space="preserve">Heimdall's actual training data (GAMUS) has only 524 image tiles.</w:t>
      </w:r>
    </w:p>
    <w:p>
      <w:pPr>
        <w:pStyle w:val="ListParagraph"/>
        <w:numPr>
          <w:ilvl w:val="0"/>
          <w:numId w:val="2"/>
        </w:numPr>
        <w:spacing w:after="80"/>
      </w:pPr>
      <w:r>
        <w:t xml:space="preserve">If all 335M parameters were allowed to update on just 524 examples, the network would catastrophically forget its general knowledge and overfit to quirks of the small dataset.</w:t>
      </w:r>
    </w:p>
    <w:p>
      <w:pPr>
        <w:pStyle w:val="ListParagraph"/>
        <w:numPr>
          <w:ilvl w:val="0"/>
          <w:numId w:val="2"/>
        </w:numPr>
        <w:spacing w:after="80"/>
      </w:pPr>
      <w:r>
        <w:t xml:space="preserve">Solution: freeze the backbone entirely (requires_grad = False), and train only a small task-specific head on top.</w:t>
      </w:r>
    </w:p>
    <w:p>
      <w:pPr>
        <w:pStyle w:val="Heading2"/>
        <w:spacing w:after="150" w:before="300"/>
      </w:pPr>
      <w:r>
        <w:t xml:space="preserve">3.2 Internal architecture of DA3</w:t>
      </w:r>
    </w:p>
    <w:p>
      <w:pPr>
        <w:pStyle w:val="Heading3"/>
        <w:spacing w:after="100" w:before="200"/>
      </w:pPr>
      <w:r>
        <w:t xml:space="preserve">a) DINOv2 ViT Encoder</w:t>
      </w:r>
    </w:p>
    <w:p>
      <w:pPr>
        <w:pStyle w:val="ListParagraph"/>
        <w:numPr>
          <w:ilvl w:val="0"/>
          <w:numId w:val="2"/>
        </w:numPr>
        <w:spacing w:after="80"/>
      </w:pPr>
      <w:r>
        <w:t xml:space="preserve">Image is split into non-overlapping 14×14 patches, each linearly projected into a token.</w:t>
      </w:r>
    </w:p>
    <w:p>
      <w:pPr>
        <w:pStyle w:val="ListParagraph"/>
        <w:numPr>
          <w:ilvl w:val="0"/>
          <w:numId w:val="2"/>
        </w:numPr>
        <w:spacing w:after="80"/>
      </w:pPr>
      <w:r>
        <w:t xml:space="preserve">QK-Normalization — normalizes query/key vectors before the attention dot-product, stabilizing training in very deep transformer stacks.</w:t>
      </w:r>
    </w:p>
    <w:p>
      <w:pPr>
        <w:pStyle w:val="ListParagraph"/>
        <w:numPr>
          <w:ilvl w:val="0"/>
          <w:numId w:val="2"/>
        </w:numPr>
        <w:spacing w:after="80"/>
      </w:pPr>
      <w:r>
        <w:t xml:space="preserve">RoPE (Rotary Position Embeddings) — instead of adding a fixed position vector once, RoPE rotates query/key vectors by an angle based on position. This makes attention depend on relative distance between patches rather than absolute position, so the model generalizes well across different image sizes/aspect ratios.</w:t>
      </w:r>
    </w:p>
    <w:p>
      <w:pPr>
        <w:pStyle w:val="ListParagraph"/>
        <w:numPr>
          <w:ilvl w:val="0"/>
          <w:numId w:val="2"/>
        </w:numPr>
        <w:spacing w:after="80"/>
      </w:pPr>
      <w:r>
        <w:t xml:space="preserve">Alternating attention — later blocks alternate between local-window and global attention patterns, saving compute while keeping long-range context where it matters.</w:t>
      </w:r>
    </w:p>
    <w:p>
      <w:pPr>
        <w:pStyle w:val="ListParagraph"/>
        <w:numPr>
          <w:ilvl w:val="0"/>
          <w:numId w:val="2"/>
        </w:numPr>
        <w:spacing w:after="80"/>
      </w:pPr>
      <w:r>
        <w:t xml:space="preserve">Multiple intermediate layers are tapped (not just the final layer) because shallow layers hold fine detail and deep layers hold global semantic context — both are needed downstream.</w:t>
      </w:r>
    </w:p>
    <w:p>
      <w:pPr>
        <w:pStyle w:val="Heading3"/>
        <w:spacing w:after="100" w:before="200"/>
      </w:pPr>
      <w:r>
        <w:t xml:space="preserve">b) DualDPT Decoder (the "DPT" part)</w:t>
      </w:r>
    </w:p>
    <w:p>
      <w:pPr>
        <w:spacing w:after="160"/>
      </w:pPr>
      <w:r>
        <w:t xml:space="preserve">DPT = Dense Prediction Transformer, a decoder style that reconstructs a dense per-pixel map from ViT features using top-down multi-scale fusion:</w:t>
      </w:r>
    </w:p>
    <w:p>
      <w:pPr>
        <w:pStyle w:val="ListParagraph"/>
        <w:numPr>
          <w:ilvl w:val="0"/>
          <w:numId w:val="2"/>
        </w:numPr>
        <w:spacing w:after="80"/>
      </w:pPr>
      <w:r>
        <w:t xml:space="preserve">Four tapped feature levels (shallow to deep) are each projected to a common channel width and resized to their own resolution ("reassembly").</w:t>
      </w:r>
    </w:p>
    <w:p>
      <w:pPr>
        <w:pStyle w:val="ListParagraph"/>
        <w:numPr>
          <w:ilvl w:val="0"/>
          <w:numId w:val="2"/>
        </w:numPr>
        <w:spacing w:after="80"/>
      </w:pPr>
      <w:r>
        <w:t xml:space="preserve">Starting from the deepest/coarsest level: refine with a small residual conv block → upsample → merge with the next, higher-resolution level's features → refine again.</w:t>
      </w:r>
    </w:p>
    <w:p>
      <w:pPr>
        <w:pStyle w:val="ListParagraph"/>
        <w:numPr>
          <w:ilvl w:val="0"/>
          <w:numId w:val="2"/>
        </w:numPr>
        <w:spacing w:after="80"/>
      </w:pPr>
      <w:r>
        <w:t xml:space="preserve">This repeats until reaching full resolution — combining correct global structure (deep layers) with sharp local detail (shallow layers), instead of one blurry upsample from a single low-res bottleneck.</w:t>
      </w:r>
    </w:p>
    <w:p>
      <w:pPr>
        <w:pStyle w:val="ListParagraph"/>
        <w:numPr>
          <w:ilvl w:val="0"/>
          <w:numId w:val="2"/>
        </w:numPr>
        <w:spacing w:after="80"/>
      </w:pPr>
      <w:r>
        <w:t xml:space="preserve">"Dual" = two parallel output heads: one regresses the depth map (exp activation, keeps output positive), the other regresses a confidence map (currently unused downstream in Heimdall — a good "future work" mention).</w:t>
      </w:r>
    </w:p>
    <w:p>
      <w:pPr>
        <w:spacing w:after="160"/>
      </w:pPr>
      <w:r>
        <w:rPr>
          <w:i/>
          <w:iCs/>
        </w:rPr>
        <w:t xml:space="preserve">One-liner for slides: "DA3 is a DINOv2 transformer enhanced with RoPE and QK-normalization, decoded through a DualDPT head that fuses coarse global context with fine local detail — frozen entirely so Heimdall retains all of its general depth intuition."</w:t>
      </w:r>
    </w:p>
    <w:p>
      <w:r>
        <w:br w:type="page"/>
      </w:r>
    </w:p>
    <w:p>
      <w:pPr>
        <w:pStyle w:val="Heading1"/>
        <w:spacing w:after="200" w:before="400"/>
      </w:pPr>
      <w:r>
        <w:t xml:space="preserve">4. Deep Dive: The Trainable ASPP Head</w:t>
      </w:r>
    </w:p>
    <w:p>
      <w:pPr>
        <w:spacing w:after="160"/>
      </w:pPr>
      <w:r>
        <w:t xml:space="preserve">This is the only part of the network that learns during training, and it's a CNN, not an MLP (it must preserve 2D spatial structure to output a per-pixel map).</w:t>
      </w:r>
    </w:p>
    <w:p>
      <w:pPr>
        <w:pStyle w:val="Heading2"/>
        <w:spacing w:after="150" w:before="300"/>
      </w:pPr>
      <w:r>
        <w:t xml:space="preserve">4.1 Why not just a plain CNN?</w:t>
      </w:r>
    </w:p>
    <w:p>
      <w:pPr>
        <w:spacing w:after="160"/>
      </w:pPr>
      <w:r>
        <w:t xml:space="preserve">A regular small CNN has one fixed receptive field size — good at either fine detail or broad context, not both. Satellite scenes need both simultaneously: a car-sized building corner and a hillside spanning hundreds of meters.</w:t>
      </w:r>
    </w:p>
    <w:p>
      <w:pPr>
        <w:pStyle w:val="Heading2"/>
        <w:spacing w:after="150" w:before="300"/>
      </w:pPr>
      <w:r>
        <w:t xml:space="preserve">4.2 What ASPP (Atrous Spatial Pyramid Pooling) does</w:t>
      </w:r>
    </w:p>
    <w:p>
      <w:pPr>
        <w:spacing w:after="160"/>
      </w:pPr>
      <w:r>
        <w:t xml:space="preserve">"Atrous" = dilated convolution: a filter with gaps between its sample points, so it can see a wider area without more computation or resolution loss.</w:t>
      </w:r>
    </w:p>
    <w:p>
      <w:pPr>
        <w:spacing w:after="160"/>
      </w:pPr>
      <w:r>
        <w:t xml:space="preserve">ASPP runs several branches in parallel on the same input, then merges them:</w:t>
      </w:r>
    </w:p>
    <w:p>
      <w:pPr>
        <w:pStyle w:val="ListParagraph"/>
        <w:numPr>
          <w:ilvl w:val="0"/>
          <w:numId w:val="2"/>
        </w:numPr>
        <w:spacing w:after="80"/>
      </w:pPr>
      <w:r>
        <w:t xml:space="preserve">Dilation rate 1 → fine local detail (e.g., a rooftop edge)</w:t>
      </w:r>
    </w:p>
    <w:p>
      <w:pPr>
        <w:pStyle w:val="ListParagraph"/>
        <w:numPr>
          <w:ilvl w:val="0"/>
          <w:numId w:val="2"/>
        </w:numPr>
        <w:spacing w:after="80"/>
      </w:pPr>
      <w:r>
        <w:t xml:space="preserve">Dilation rates 6, 12, 18 → progressively larger receptive fields (up to entire neighborhoods)</w:t>
      </w:r>
    </w:p>
    <w:p>
      <w:pPr>
        <w:pStyle w:val="ListParagraph"/>
        <w:numPr>
          <w:ilvl w:val="0"/>
          <w:numId w:val="2"/>
        </w:numPr>
        <w:spacing w:after="80"/>
      </w:pPr>
      <w:r>
        <w:t xml:space="preserve">Global average pooling branch → whole-scene context</w:t>
      </w:r>
    </w:p>
    <w:p>
      <w:pPr>
        <w:spacing w:after="160"/>
      </w:pPr>
      <w:r>
        <w:t xml:space="preserve">All branches are concatenated and fused with a 1×1 convolution.</w:t>
      </w:r>
    </w:p>
    <w:p>
      <w:pPr>
        <w:pStyle w:val="Heading2"/>
        <w:spacing w:after="150" w:before="300"/>
      </w:pPr>
      <w:r>
        <w:t xml:space="preserve">4.3 What the head predicts</w:t>
      </w:r>
    </w:p>
    <w:p>
      <w:pPr>
        <w:spacing w:after="160"/>
      </w:pPr>
      <w:r>
        <w:t xml:space="preserve">Rather than directly regressing height, the head predicts two spatial fields:</w:t>
      </w:r>
    </w:p>
    <w:p>
      <w:pPr>
        <w:pStyle w:val="ListParagraph"/>
        <w:numPr>
          <w:ilvl w:val="0"/>
          <w:numId w:val="2"/>
        </w:numPr>
        <w:spacing w:after="80"/>
      </w:pPr>
      <w:r>
        <w:t xml:space="preserve">S(x, y) — a per-pixel scale map</w:t>
      </w:r>
    </w:p>
    <w:p>
      <w:pPr>
        <w:pStyle w:val="ListParagraph"/>
        <w:numPr>
          <w:ilvl w:val="0"/>
          <w:numId w:val="2"/>
        </w:numPr>
        <w:spacing w:after="80"/>
      </w:pPr>
      <w:r>
        <w:t xml:space="preserve">T(x, y) — a per-pixel shift map</w:t>
      </w:r>
    </w:p>
    <w:p>
      <w:pPr>
        <w:spacing w:after="160"/>
      </w:pPr>
      <w:r>
        <w:t xml:space="preserve">Initialized near identity (S≈1, T≈0) so training starts by trusting DA3's raw relative depth, then gradually learns local corrections — this stabilizes early training instead of starting from noisy random output.</w:t>
      </w:r>
    </w:p>
    <w:p>
      <w:pPr>
        <w:pStyle w:val="Heading2"/>
        <w:spacing w:after="150" w:before="300"/>
      </w:pPr>
      <w:r>
        <w:t xml:space="preserve">4.4 The affine transformation</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20"/>
          <w:szCs w:val="20"/>
        </w:rPr>
        <w:t xml:space="preserve">Height(x, y) = ReLU( S(x, y) * Relative_Depth(x, y) + T(x, y) )</w:t>
      </w:r>
    </w:p>
    <w:p>
      <w:pPr>
        <w:pStyle w:val="ListParagraph"/>
        <w:numPr>
          <w:ilvl w:val="0"/>
          <w:numId w:val="2"/>
        </w:numPr>
        <w:spacing w:after="80"/>
      </w:pPr>
      <w:r>
        <w:t xml:space="preserve">Applied per-pixel (not one global scale/shift) — different regions of the same image can have different local calibration.</w:t>
      </w:r>
    </w:p>
    <w:p>
      <w:pPr>
        <w:pStyle w:val="ListParagraph"/>
        <w:numPr>
          <w:ilvl w:val="0"/>
          <w:numId w:val="2"/>
        </w:numPr>
        <w:spacing w:after="80"/>
      </w:pPr>
      <w:r>
        <w:t xml:space="preserve">ReLU bakes in a hard physical constraint: terrain height can never be negative.</w:t>
      </w:r>
    </w:p>
    <w:p>
      <w:pPr>
        <w:spacing w:after="160"/>
      </w:pPr>
      <w:r>
        <w:rPr>
          <w:i/>
          <w:iCs/>
        </w:rPr>
        <w:t xml:space="preserve">One-liner for slides: "ASPP looks at the scene at multiple zoom levels simultaneously and predicts a local scale-and-shift correction for every pixel, turning DA3's relative depth guess into calibrated physical meters."</w:t>
      </w:r>
    </w:p>
    <w:p>
      <w:pPr>
        <w:pStyle w:val="Heading1"/>
        <w:spacing w:after="200" w:before="400"/>
      </w:pPr>
      <w:r>
        <w:t xml:space="preserve">5. Loss Function Engineering</w:t>
      </w:r>
    </w:p>
    <w:p>
      <w:pPr>
        <w:spacing w:after="160"/>
      </w:pPr>
      <w:r>
        <w:t xml:space="preserve">Plain L1/L2 loss produces blurry, over-smoothed elevation maps because the network averages out uncertainty. Heimdall uses a three-part composite loss:</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20"/>
          <w:szCs w:val="20"/>
        </w:rPr>
        <w:t xml:space="preserve">Total_Loss = 1.0 * SILog + 0.5 * Gradient_Matching + 0.1 * L1_Anchor</w:t>
      </w:r>
    </w:p>
    <w:p>
      <w:pPr>
        <w:pStyle w:val="Heading2"/>
        <w:spacing w:after="150" w:before="300"/>
      </w:pPr>
      <w:r>
        <w:t xml:space="preserve">5.1 Scale-Invariant Logarithmic (SILog) Loss</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20"/>
          <w:szCs w:val="20"/>
        </w:rPr>
        <w:t xml:space="preserve">d(x,y) = log(1 + Pred(x,y)) - log(1 + Target(x,y))</w:t>
      </w:r>
      <w:r>
        <w:br/>
        <w:t xml:space="preserve"/>
      </w:r>
      <w:r>
        <w:rPr>
          <w:rFonts w:ascii="Consolas" w:cs="Consolas" w:eastAsia="Consolas" w:hAnsi="Consolas"/>
          <w:sz w:val="20"/>
          <w:szCs w:val="20"/>
        </w:rPr>
        <w:t xml:space="preserve">Variance = mean(d^2) - lambda * (mean(d))^2</w:t>
      </w:r>
      <w:r>
        <w:br/>
        <w:t xml:space="preserve"/>
      </w:r>
      <w:r>
        <w:rPr>
          <w:rFonts w:ascii="Consolas" w:cs="Consolas" w:eastAsia="Consolas" w:hAnsi="Consolas"/>
          <w:sz w:val="20"/>
          <w:szCs w:val="20"/>
        </w:rPr>
        <w:t xml:space="preserve">Loss_SILog = sqrt(max(1e-8, Variance)) * 10.0</w:t>
      </w:r>
    </w:p>
    <w:p>
      <w:pPr>
        <w:pStyle w:val="ListParagraph"/>
        <w:numPr>
          <w:ilvl w:val="0"/>
          <w:numId w:val="2"/>
        </w:numPr>
        <w:spacing w:after="80"/>
      </w:pPr>
      <w:r>
        <w:t xml:space="preserve">Works in log space, so a 5m error on a 100m hill and a 1.5m error on a 3m roadside ditch are both penalized proportionally — plain MSE would nearly ignore the ditch.</w:t>
      </w:r>
    </w:p>
    <w:p>
      <w:pPr>
        <w:pStyle w:val="ListParagraph"/>
        <w:numPr>
          <w:ilvl w:val="0"/>
          <w:numId w:val="2"/>
        </w:numPr>
        <w:spacing w:after="80"/>
      </w:pPr>
      <w:r>
        <w:t xml:space="preserve">Critical fix: uses log1p(x) = log(1+x) instead of log(x), because satellite ground level is frequently exactly 0m, and log(0) = -infinity would instantly break training with NaN gradients. log1p(0) = 0, fully differentiable.</w:t>
      </w:r>
    </w:p>
    <w:p>
      <w:pPr>
        <w:pStyle w:val="ListParagraph"/>
        <w:numPr>
          <w:ilvl w:val="0"/>
          <w:numId w:val="2"/>
        </w:numPr>
        <w:spacing w:after="80"/>
      </w:pPr>
      <w:r>
        <w:t xml:space="preserve">Variance is clamped at 1e-8 before the square root to prevent division-by-zero style gradient explosions as the model converges.</w:t>
      </w:r>
    </w:p>
    <w:p>
      <w:pPr>
        <w:pStyle w:val="Heading2"/>
        <w:spacing w:after="150" w:before="300"/>
      </w:pPr>
      <w:r>
        <w:t xml:space="preserve">5.2 Multi-Scale Gradient Matching Loss</w:t>
      </w:r>
    </w:p>
    <w:p>
      <w:pPr>
        <w:spacing w:after="160"/>
      </w:pPr>
      <w:r>
        <w:t xml:space="preserve">Compares spatial derivatives (finite differences) between prediction and ground truth at 4 pixel-offset scales: 1, 2, 4, 8.</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20"/>
          <w:szCs w:val="20"/>
        </w:rPr>
        <w:t xml:space="preserve">grad_x_pred[step] = Pred[:,:,:,step:] - Pred[:,:,:,:-step]</w:t>
      </w:r>
      <w:r>
        <w:br/>
        <w:t xml:space="preserve"/>
      </w:r>
      <w:r>
        <w:rPr>
          <w:rFonts w:ascii="Consolas" w:cs="Consolas" w:eastAsia="Consolas" w:hAnsi="Consolas"/>
          <w:sz w:val="20"/>
          <w:szCs w:val="20"/>
        </w:rPr>
        <w:t xml:space="preserve">Loss_Grad = sum over steps of L1(grad_pred, grad_target)</w:t>
      </w:r>
    </w:p>
    <w:p>
      <w:pPr>
        <w:spacing w:after="160"/>
      </w:pPr>
      <w:r>
        <w:t xml:space="preserve">Forces sharp, vertical building edges instead of gradual sloping mounds — SILog gets the overall shape right, this loss gets the edges crisp.</w:t>
      </w:r>
    </w:p>
    <w:p>
      <w:pPr>
        <w:pStyle w:val="Heading2"/>
        <w:spacing w:after="150" w:before="300"/>
      </w:pPr>
      <w:r>
        <w:t xml:space="preserve">5.3 L1 Absolute Anchor</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20"/>
          <w:szCs w:val="20"/>
        </w:rPr>
        <w:t xml:space="preserve">Loss_L1 = mean(|Pred - Target|)</w:t>
      </w:r>
    </w:p>
    <w:p>
      <w:pPr>
        <w:spacing w:after="160"/>
      </w:pPr>
      <w:r>
        <w:t xml:space="preserve">SILog alone is blind to absolute scale (it's scale-invariant by design), so this term anchors the prediction to the correct real-world magnitude.</w:t>
      </w:r>
    </w:p>
    <w:p>
      <w:r>
        <w:br w:type="page"/>
      </w:r>
    </w:p>
    <w:p>
      <w:pPr>
        <w:pStyle w:val="Heading1"/>
        <w:spacing w:after="200" w:before="400"/>
      </w:pPr>
      <w:r>
        <w:t xml:space="preserve">6. Training Setup &amp; Empirical Results</w:t>
      </w:r>
    </w:p>
    <w:p>
      <w:pPr>
        <w:pStyle w:val="Heading2"/>
        <w:spacing w:after="150" w:before="300"/>
      </w:pPr>
      <w:r>
        <w:t xml:space="preserve">6.1 Dataset: GAMUS</w:t>
      </w:r>
    </w:p>
    <w:p>
      <w:pPr>
        <w:pStyle w:val="ListParagraph"/>
        <w:numPr>
          <w:ilvl w:val="0"/>
          <w:numId w:val="2"/>
        </w:numPr>
        <w:spacing w:after="80"/>
      </w:pPr>
      <w:r>
        <w:t xml:space="preserve">Global Aerial Multi-sensor Urban Dataset</w:t>
      </w:r>
    </w:p>
    <w:p>
      <w:pPr>
        <w:pStyle w:val="ListParagraph"/>
        <w:numPr>
          <w:ilvl w:val="0"/>
          <w:numId w:val="2"/>
        </w:numPr>
        <w:spacing w:after="80"/>
      </w:pPr>
      <w:r>
        <w:t xml:space="preserve">524 high-resolution aerial tiles, each with paired RGB imagery + ground-truth LiDAR-derived elevation (nDSM)</w:t>
      </w:r>
    </w:p>
    <w:p>
      <w:pPr>
        <w:pStyle w:val="ListParagraph"/>
        <w:numPr>
          <w:ilvl w:val="0"/>
          <w:numId w:val="2"/>
        </w:numPr>
        <w:spacing w:after="80"/>
      </w:pPr>
      <w:r>
        <w:t xml:space="preserve">Format: HDF5</w:t>
      </w:r>
    </w:p>
    <w:p>
      <w:pPr>
        <w:pStyle w:val="ListParagraph"/>
        <w:numPr>
          <w:ilvl w:val="0"/>
          <w:numId w:val="2"/>
        </w:numPr>
        <w:spacing w:after="80"/>
      </w:pPr>
      <w:r>
        <w:t xml:space="preserve">Augmentation: random 504×504 crops, horizontal/vertical flips, color jitter</w:t>
      </w:r>
    </w:p>
    <w:p>
      <w:pPr>
        <w:pStyle w:val="Heading2"/>
        <w:spacing w:after="150" w:before="300"/>
      </w:pPr>
      <w:r>
        <w:t xml:space="preserve">6.2 Hardware &amp;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6440"/>
      </w:tblGrid>
      <w:tr>
        <w:trPr>
          <w:tblHeader/>
        </w:trPr>
        <w:tc>
          <w:tcPr>
            <w:tcW w:type="dxa" w:w="4000"/>
            <w:shd w:fill="1F3864" w:val="clear"/>
          </w:tcPr>
          <w:p>
            <w:r>
              <w:rPr>
                <w:b/>
                <w:bCs/>
                <w:color w:val="FFFFFF"/>
                <w:sz w:val="20"/>
                <w:szCs w:val="20"/>
              </w:rPr>
              <w:t xml:space="preserve">Setting</w:t>
            </w:r>
          </w:p>
        </w:tc>
        <w:tc>
          <w:tcPr>
            <w:tcW w:type="dxa" w:w="6440"/>
            <w:shd w:fill="1F3864" w:val="clear"/>
          </w:tcPr>
          <w:p>
            <w:r>
              <w:rPr>
                <w:b/>
                <w:bCs/>
                <w:color w:val="FFFFFF"/>
                <w:sz w:val="20"/>
                <w:szCs w:val="20"/>
              </w:rPr>
              <w:t xml:space="preserve">Value</w:t>
            </w:r>
          </w:p>
        </w:tc>
      </w:tr>
      <w:tr>
        <w:tc>
          <w:tcPr>
            <w:tcW w:type="dxa" w:w="4000"/>
            <w:shd w:fill="FFFFFF" w:val="clear"/>
          </w:tcPr>
          <w:p>
            <w:r>
              <w:rPr>
                <w:sz w:val="20"/>
                <w:szCs w:val="20"/>
              </w:rPr>
              <w:t xml:space="preserve">Hardware</w:t>
            </w:r>
          </w:p>
        </w:tc>
        <w:tc>
          <w:tcPr>
            <w:tcW w:type="dxa" w:w="6440"/>
            <w:shd w:fill="FFFFFF" w:val="clear"/>
          </w:tcPr>
          <w:p>
            <w:r>
              <w:rPr>
                <w:sz w:val="20"/>
                <w:szCs w:val="20"/>
              </w:rPr>
              <w:t xml:space="preserve">Dual NVIDIA Tesla T4 GPUs (16GB each)</w:t>
            </w:r>
          </w:p>
        </w:tc>
      </w:tr>
      <w:tr>
        <w:tc>
          <w:tcPr>
            <w:tcW w:type="dxa" w:w="4000"/>
            <w:shd w:fill="F2F5FA" w:val="clear"/>
          </w:tcPr>
          <w:p>
            <w:r>
              <w:rPr>
                <w:sz w:val="20"/>
                <w:szCs w:val="20"/>
              </w:rPr>
              <w:t xml:space="preserve">Mixed precision</w:t>
            </w:r>
          </w:p>
        </w:tc>
        <w:tc>
          <w:tcPr>
            <w:tcW w:type="dxa" w:w="6440"/>
            <w:shd w:fill="F2F5FA" w:val="clear"/>
          </w:tcPr>
          <w:p>
            <w:r>
              <w:rPr>
                <w:sz w:val="20"/>
                <w:szCs w:val="20"/>
              </w:rPr>
              <w:t xml:space="preserve">PyTorch AMP (FP16 autocast + GradScaler)</w:t>
            </w:r>
          </w:p>
        </w:tc>
      </w:tr>
      <w:tr>
        <w:tc>
          <w:tcPr>
            <w:tcW w:type="dxa" w:w="4000"/>
            <w:shd w:fill="FFFFFF" w:val="clear"/>
          </w:tcPr>
          <w:p>
            <w:r>
              <w:rPr>
                <w:sz w:val="20"/>
                <w:szCs w:val="20"/>
              </w:rPr>
              <w:t xml:space="preserve">Physical batch size</w:t>
            </w:r>
          </w:p>
        </w:tc>
        <w:tc>
          <w:tcPr>
            <w:tcW w:type="dxa" w:w="6440"/>
            <w:shd w:fill="FFFFFF" w:val="clear"/>
          </w:tcPr>
          <w:p>
            <w:r>
              <w:rPr>
                <w:sz w:val="20"/>
                <w:szCs w:val="20"/>
              </w:rPr>
              <w:t xml:space="preserve">2</w:t>
            </w:r>
          </w:p>
        </w:tc>
      </w:tr>
      <w:tr>
        <w:tc>
          <w:tcPr>
            <w:tcW w:type="dxa" w:w="4000"/>
            <w:shd w:fill="F2F5FA" w:val="clear"/>
          </w:tcPr>
          <w:p>
            <w:r>
              <w:rPr>
                <w:sz w:val="20"/>
                <w:szCs w:val="20"/>
              </w:rPr>
              <w:t xml:space="preserve">Gradient accumulation</w:t>
            </w:r>
          </w:p>
        </w:tc>
        <w:tc>
          <w:tcPr>
            <w:tcW w:type="dxa" w:w="6440"/>
            <w:shd w:fill="F2F5FA" w:val="clear"/>
          </w:tcPr>
          <w:p>
            <w:r>
              <w:rPr>
                <w:sz w:val="20"/>
                <w:szCs w:val="20"/>
              </w:rPr>
              <w:t xml:space="preserve">4 steps → effective batch size 8</w:t>
            </w:r>
          </w:p>
        </w:tc>
      </w:tr>
      <w:tr>
        <w:tc>
          <w:tcPr>
            <w:tcW w:type="dxa" w:w="4000"/>
            <w:shd w:fill="FFFFFF" w:val="clear"/>
          </w:tcPr>
          <w:p>
            <w:r>
              <w:rPr>
                <w:sz w:val="20"/>
                <w:szCs w:val="20"/>
              </w:rPr>
              <w:t xml:space="preserve">Optimizer</w:t>
            </w:r>
          </w:p>
        </w:tc>
        <w:tc>
          <w:tcPr>
            <w:tcW w:type="dxa" w:w="6440"/>
            <w:shd w:fill="FFFFFF" w:val="clear"/>
          </w:tcPr>
          <w:p>
            <w:r>
              <w:rPr>
                <w:sz w:val="20"/>
                <w:szCs w:val="20"/>
              </w:rPr>
              <w:t xml:space="preserve">AdamW, lr=1e-4, weight decay=1e-4</w:t>
            </w:r>
          </w:p>
        </w:tc>
      </w:tr>
      <w:tr>
        <w:tc>
          <w:tcPr>
            <w:tcW w:type="dxa" w:w="4000"/>
            <w:shd w:fill="F2F5FA" w:val="clear"/>
          </w:tcPr>
          <w:p>
            <w:r>
              <w:rPr>
                <w:sz w:val="20"/>
                <w:szCs w:val="20"/>
              </w:rPr>
              <w:t xml:space="preserve">Gradient clipping</w:t>
            </w:r>
          </w:p>
        </w:tc>
        <w:tc>
          <w:tcPr>
            <w:tcW w:type="dxa" w:w="6440"/>
            <w:shd w:fill="F2F5FA" w:val="clear"/>
          </w:tcPr>
          <w:p>
            <w:r>
              <w:rPr>
                <w:sz w:val="20"/>
                <w:szCs w:val="20"/>
              </w:rPr>
              <w:t xml:space="preserve">Max norm 1.0</w:t>
            </w:r>
          </w:p>
        </w:tc>
      </w:tr>
      <w:tr>
        <w:tc>
          <w:tcPr>
            <w:tcW w:type="dxa" w:w="4000"/>
            <w:shd w:fill="FFFFFF" w:val="clear"/>
          </w:tcPr>
          <w:p>
            <w:r>
              <w:rPr>
                <w:sz w:val="20"/>
                <w:szCs w:val="20"/>
              </w:rPr>
              <w:t xml:space="preserve">LR schedule</w:t>
            </w:r>
          </w:p>
        </w:tc>
        <w:tc>
          <w:tcPr>
            <w:tcW w:type="dxa" w:w="6440"/>
            <w:shd w:fill="FFFFFF" w:val="clear"/>
          </w:tcPr>
          <w:p>
            <w:pPr>
              <w:spacing w:before="40" w:after="40"/>
            </w:pPr>
            <w:r/>
            <w:r>
              <w:rPr>
                <w:rFonts w:ascii="Calibri" w:hAnsi="Calibri"/>
                <w:sz w:val="20"/>
              </w:rPr>
              <w:t>Cosine annealing, 1e-4 → 1e-6 across 78 continuous epochs (12-hour session cutoff at 43,200s)</w:t>
            </w:r>
          </w:p>
        </w:tc>
      </w:tr>
    </w:tbl>
    <w:p>
      <w:pPr>
        <w:pStyle w:val="Heading2"/>
        <w:spacing w:after="150" w:before="300"/>
      </w:pPr>
      <w:r>
        <w:t xml:space="preserve">6.3 Training progression (real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5640"/>
      </w:tblGrid>
      <w:tr>
        <w:trPr>
          <w:tblHeader/>
        </w:trPr>
        <w:tc>
          <w:tcPr>
            <w:tcW w:type="dxa" w:w="1400"/>
            <w:shd w:fill="1F3864" w:val="clear"/>
          </w:tcPr>
          <w:p>
            <w:r>
              <w:rPr>
                <w:b/>
                <w:bCs/>
                <w:color w:val="FFFFFF"/>
                <w:sz w:val="20"/>
                <w:szCs w:val="20"/>
              </w:rPr>
              <w:t xml:space="preserve">Epoch</w:t>
            </w:r>
          </w:p>
        </w:tc>
        <w:tc>
          <w:tcPr>
            <w:tcW w:type="dxa" w:w="1600"/>
            <w:shd w:fill="1F3864" w:val="clear"/>
          </w:tcPr>
          <w:p>
            <w:r>
              <w:rPr>
                <w:b/>
                <w:bCs/>
                <w:color w:val="FFFFFF"/>
                <w:sz w:val="20"/>
                <w:szCs w:val="20"/>
              </w:rPr>
              <w:t xml:space="preserve">Total Loss</w:t>
            </w:r>
          </w:p>
        </w:tc>
        <w:tc>
          <w:tcPr>
            <w:tcW w:type="dxa" w:w="1800"/>
            <w:shd w:fill="1F3864" w:val="clear"/>
          </w:tcPr>
          <w:p>
            <w:r>
              <w:rPr>
                <w:b/>
                <w:bCs/>
                <w:color w:val="FFFFFF"/>
                <w:sz w:val="20"/>
                <w:szCs w:val="20"/>
              </w:rPr>
              <w:t xml:space="preserve">SILog Component</w:t>
            </w:r>
          </w:p>
        </w:tc>
        <w:tc>
          <w:tcPr>
            <w:tcW w:type="dxa" w:w="5640"/>
            <w:shd w:fill="1F3864" w:val="clear"/>
          </w:tcPr>
          <w:p>
            <w:r>
              <w:rPr>
                <w:b/>
                <w:bCs/>
                <w:color w:val="FFFFFF"/>
                <w:sz w:val="20"/>
                <w:szCs w:val="20"/>
              </w:rPr>
              <w:t xml:space="preserve">Notes</w:t>
            </w:r>
          </w:p>
        </w:tc>
      </w:tr>
      <w:tr>
        <w:tc>
          <w:tcPr>
            <w:tcW w:type="dxa" w:w="1400"/>
            <w:shd w:fill="FFFFFF" w:val="clear"/>
          </w:tcPr>
          <w:p>
            <w:r>
              <w:rPr>
                <w:sz w:val="20"/>
                <w:szCs w:val="20"/>
              </w:rPr>
              <w:t xml:space="preserve">1</w:t>
            </w:r>
          </w:p>
        </w:tc>
        <w:tc>
          <w:tcPr>
            <w:tcW w:type="dxa" w:w="1600"/>
            <w:shd w:fill="FFFFFF" w:val="clear"/>
          </w:tcPr>
          <w:p>
            <w:r>
              <w:rPr>
                <w:sz w:val="20"/>
                <w:szCs w:val="20"/>
              </w:rPr>
              <w:t xml:space="preserve">46.82</w:t>
            </w:r>
          </w:p>
        </w:tc>
        <w:tc>
          <w:tcPr>
            <w:tcW w:type="dxa" w:w="1800"/>
            <w:shd w:fill="FFFFFF" w:val="clear"/>
          </w:tcPr>
          <w:p>
            <w:r>
              <w:rPr>
                <w:sz w:val="20"/>
                <w:szCs w:val="20"/>
              </w:rPr>
              <w:t xml:space="preserve">28.40</w:t>
            </w:r>
          </w:p>
        </w:tc>
        <w:tc>
          <w:tcPr>
            <w:tcW w:type="dxa" w:w="5640"/>
            <w:shd w:fill="FFFFFF" w:val="clear"/>
          </w:tcPr>
          <w:p>
            <w:r>
              <w:rPr>
                <w:sz w:val="20"/>
                <w:szCs w:val="20"/>
              </w:rPr>
              <w:t xml:space="preserve">Initial affine head calibration</w:t>
            </w:r>
          </w:p>
        </w:tc>
      </w:tr>
      <w:tr>
        <w:tc>
          <w:tcPr>
            <w:tcW w:type="dxa" w:w="1400"/>
            <w:shd w:fill="F2F5FA" w:val="clear"/>
          </w:tcPr>
          <w:p>
            <w:r>
              <w:rPr>
                <w:sz w:val="20"/>
                <w:szCs w:val="20"/>
              </w:rPr>
              <w:t xml:space="preserve">10</w:t>
            </w:r>
          </w:p>
        </w:tc>
        <w:tc>
          <w:tcPr>
            <w:tcW w:type="dxa" w:w="1600"/>
            <w:shd w:fill="F2F5FA" w:val="clear"/>
          </w:tcPr>
          <w:p>
            <w:r>
              <w:rPr>
                <w:sz w:val="20"/>
                <w:szCs w:val="20"/>
              </w:rPr>
              <w:t xml:space="preserve">26.15</w:t>
            </w:r>
          </w:p>
        </w:tc>
        <w:tc>
          <w:tcPr>
            <w:tcW w:type="dxa" w:w="1800"/>
            <w:shd w:fill="F2F5FA" w:val="clear"/>
          </w:tcPr>
          <w:p>
            <w:r>
              <w:rPr>
                <w:sz w:val="20"/>
                <w:szCs w:val="20"/>
              </w:rPr>
              <w:t xml:space="preserve">16.20</w:t>
            </w:r>
          </w:p>
        </w:tc>
        <w:tc>
          <w:tcPr>
            <w:tcW w:type="dxa" w:w="5640"/>
            <w:shd w:fill="F2F5FA" w:val="clear"/>
          </w:tcPr>
          <w:p>
            <w:r>
              <w:rPr>
                <w:sz w:val="20"/>
                <w:szCs w:val="20"/>
              </w:rPr>
              <w:t xml:space="preserve">Ground plane stabilizing, coarse footprints emerging</w:t>
            </w:r>
          </w:p>
        </w:tc>
      </w:tr>
      <w:tr>
        <w:tc>
          <w:tcPr>
            <w:tcW w:type="dxa" w:w="1400"/>
            <w:shd w:fill="FFFFFF" w:val="clear"/>
          </w:tcPr>
          <w:p>
            <w:r>
              <w:rPr>
                <w:sz w:val="20"/>
                <w:szCs w:val="20"/>
              </w:rPr>
              <w:t xml:space="preserve">20</w:t>
            </w:r>
          </w:p>
        </w:tc>
        <w:tc>
          <w:tcPr>
            <w:tcW w:type="dxa" w:w="1600"/>
            <w:shd w:fill="FFFFFF" w:val="clear"/>
          </w:tcPr>
          <w:p>
            <w:r>
              <w:rPr>
                <w:sz w:val="20"/>
                <w:szCs w:val="20"/>
              </w:rPr>
              <w:t xml:space="preserve">20.44</w:t>
            </w:r>
          </w:p>
        </w:tc>
        <w:tc>
          <w:tcPr>
            <w:tcW w:type="dxa" w:w="1800"/>
            <w:shd w:fill="FFFFFF" w:val="clear"/>
          </w:tcPr>
          <w:p>
            <w:r>
              <w:rPr>
                <w:sz w:val="20"/>
                <w:szCs w:val="20"/>
              </w:rPr>
              <w:t xml:space="preserve">12.80</w:t>
            </w:r>
          </w:p>
        </w:tc>
        <w:tc>
          <w:tcPr>
            <w:tcW w:type="dxa" w:w="5640"/>
            <w:shd w:fill="FFFFFF" w:val="clear"/>
          </w:tcPr>
          <w:p>
            <w:r>
              <w:rPr>
                <w:sz w:val="20"/>
                <w:szCs w:val="20"/>
              </w:rPr>
              <w:t xml:space="preserve">Gradient loss begins sharpening building edges</w:t>
            </w:r>
          </w:p>
        </w:tc>
      </w:tr>
      <w:tr>
        <w:tc>
          <w:tcPr>
            <w:tcW w:type="dxa" w:w="1400"/>
            <w:shd w:fill="F2F5FA" w:val="clear"/>
          </w:tcPr>
          <w:p>
            <w:r>
              <w:rPr>
                <w:sz w:val="20"/>
                <w:szCs w:val="20"/>
              </w:rPr>
              <w:t xml:space="preserve">30</w:t>
            </w:r>
          </w:p>
        </w:tc>
        <w:tc>
          <w:tcPr>
            <w:tcW w:type="dxa" w:w="1600"/>
            <w:shd w:fill="F2F5FA" w:val="clear"/>
          </w:tcPr>
          <w:p>
            <w:r>
              <w:rPr>
                <w:sz w:val="20"/>
                <w:szCs w:val="20"/>
              </w:rPr>
              <w:t xml:space="preserve">17.20</w:t>
            </w:r>
          </w:p>
        </w:tc>
        <w:tc>
          <w:tcPr>
            <w:tcW w:type="dxa" w:w="1800"/>
            <w:shd w:fill="F2F5FA" w:val="clear"/>
          </w:tcPr>
          <w:p>
            <w:r>
              <w:rPr>
                <w:sz w:val="20"/>
                <w:szCs w:val="20"/>
              </w:rPr>
              <w:t xml:space="preserve">10.95</w:t>
            </w:r>
          </w:p>
        </w:tc>
        <w:tc>
          <w:tcPr>
            <w:tcW w:type="dxa" w:w="5640"/>
            <w:shd w:fill="F2F5FA" w:val="clear"/>
          </w:tcPr>
          <w:p>
            <w:r>
              <w:rPr>
                <w:sz w:val="20"/>
                <w:szCs w:val="20"/>
              </w:rPr>
              <w:t xml:space="preserve">Fine detail: roads, tree canopies distinct</w:t>
            </w:r>
          </w:p>
        </w:tc>
      </w:tr>
      <w:tr>
        <w:tc>
          <w:tcPr>
            <w:tcW w:type="dxa" w:w="1400"/>
            <w:shd w:fill="FFFFFF" w:val="clear"/>
          </w:tcPr>
          <w:p>
            <w:r>
              <w:rPr>
                <w:sz w:val="20"/>
                <w:szCs w:val="20"/>
              </w:rPr>
              <w:t xml:space="preserve">40</w:t>
            </w:r>
          </w:p>
        </w:tc>
        <w:tc>
          <w:tcPr>
            <w:tcW w:type="dxa" w:w="1600"/>
            <w:shd w:fill="FFFFFF" w:val="clear"/>
          </w:tcPr>
          <w:p>
            <w:r>
              <w:rPr>
                <w:sz w:val="20"/>
                <w:szCs w:val="20"/>
              </w:rPr>
              <w:t xml:space="preserve">14.09</w:t>
            </w:r>
          </w:p>
        </w:tc>
        <w:tc>
          <w:tcPr>
            <w:tcW w:type="dxa" w:w="1800"/>
            <w:shd w:fill="FFFFFF" w:val="clear"/>
          </w:tcPr>
          <w:p>
            <w:r>
              <w:rPr>
                <w:sz w:val="20"/>
                <w:szCs w:val="20"/>
              </w:rPr>
              <w:t xml:space="preserve">8.63</w:t>
            </w:r>
          </w:p>
        </w:tc>
        <w:tc>
          <w:tcPr>
            <w:tcW w:type="dxa" w:w="5640"/>
            <w:shd w:fill="FFFFFF" w:val="clear"/>
          </w:tcPr>
          <w:p>
            <w:r>
              <w:rPr>
                <w:sz w:val="20"/>
                <w:szCs w:val="20"/>
              </w:rPr>
              <w:t xml:space="preserve">High-fidelity convergence</w:t>
            </w:r>
          </w:p>
        </w:tc>
      </w:tr>
      <w:tr>
        <w:tc>
          <w:tcPr>
            <w:tcW w:type="dxa" w:w="1400"/>
            <w:shd w:fill="F2F5FA"/>
            <w:tcMar>
              <w:top w:w="80" w:type="dxa"/>
              <w:bottom w:w="80" w:type="dxa"/>
              <w:left w:w="100" w:type="dxa"/>
              <w:right w:w="100" w:type="dxa"/>
            </w:tcMar>
          </w:tcPr>
          <w:p>
            <w:pPr>
              <w:spacing w:before="40" w:after="40"/>
            </w:pPr>
            <w:r>
              <w:rPr>
                <w:rFonts w:ascii="Calibri" w:hAnsi="Calibri"/>
                <w:sz w:val="20"/>
              </w:rPr>
              <w:t>50</w:t>
            </w:r>
          </w:p>
        </w:tc>
        <w:tc>
          <w:tcPr>
            <w:tcW w:type="dxa" w:w="1600"/>
            <w:shd w:fill="F2F5FA"/>
            <w:tcMar>
              <w:top w:w="80" w:type="dxa"/>
              <w:bottom w:w="80" w:type="dxa"/>
              <w:left w:w="100" w:type="dxa"/>
              <w:right w:w="100" w:type="dxa"/>
            </w:tcMar>
          </w:tcPr>
          <w:p>
            <w:pPr>
              <w:spacing w:before="40" w:after="40"/>
            </w:pPr>
            <w:r>
              <w:rPr>
                <w:rFonts w:ascii="Calibri" w:hAnsi="Calibri"/>
                <w:sz w:val="20"/>
              </w:rPr>
              <w:t>13.52</w:t>
            </w:r>
          </w:p>
        </w:tc>
        <w:tc>
          <w:tcPr>
            <w:tcW w:type="dxa" w:w="1800"/>
            <w:shd w:fill="F2F5FA"/>
            <w:tcMar>
              <w:top w:w="80" w:type="dxa"/>
              <w:bottom w:w="80" w:type="dxa"/>
              <w:left w:w="100" w:type="dxa"/>
              <w:right w:w="100" w:type="dxa"/>
            </w:tcMar>
          </w:tcPr>
          <w:p>
            <w:pPr>
              <w:spacing w:before="40" w:after="40"/>
            </w:pPr>
            <w:r>
              <w:rPr>
                <w:rFonts w:ascii="Calibri" w:hAnsi="Calibri"/>
                <w:sz w:val="20"/>
              </w:rPr>
              <w:t>7.95</w:t>
            </w:r>
          </w:p>
        </w:tc>
        <w:tc>
          <w:tcPr>
            <w:tcW w:type="dxa" w:w="5640"/>
            <w:shd w:fill="F2F5FA"/>
            <w:tcMar>
              <w:top w:w="80" w:type="dxa"/>
              <w:bottom w:w="80" w:type="dxa"/>
              <w:left w:w="100" w:type="dxa"/>
              <w:right w:w="100" w:type="dxa"/>
            </w:tcMar>
          </w:tcPr>
          <w:p>
            <w:pPr>
              <w:spacing w:before="40" w:after="40"/>
            </w:pPr>
            <w:r>
              <w:rPr>
                <w:rFonts w:ascii="Calibri" w:hAnsi="Calibri"/>
                <w:sz w:val="20"/>
              </w:rPr>
              <w:t>Multi-scale structural refinement, canopy separation</w:t>
            </w:r>
          </w:p>
        </w:tc>
      </w:tr>
      <w:tr>
        <w:tc>
          <w:tcPr>
            <w:tcW w:type="dxa" w:w="1400"/>
            <w:shd w:fill="FFFFFF"/>
            <w:tcMar>
              <w:top w:w="80" w:type="dxa"/>
              <w:bottom w:w="80" w:type="dxa"/>
              <w:left w:w="100" w:type="dxa"/>
              <w:right w:w="100" w:type="dxa"/>
            </w:tcMar>
          </w:tcPr>
          <w:p>
            <w:pPr>
              <w:spacing w:before="40" w:after="40"/>
            </w:pPr>
            <w:r>
              <w:rPr>
                <w:rFonts w:ascii="Calibri" w:hAnsi="Calibri"/>
                <w:sz w:val="20"/>
              </w:rPr>
              <w:t>60</w:t>
            </w:r>
          </w:p>
        </w:tc>
        <w:tc>
          <w:tcPr>
            <w:tcW w:type="dxa" w:w="1600"/>
            <w:shd w:fill="FFFFFF"/>
            <w:tcMar>
              <w:top w:w="80" w:type="dxa"/>
              <w:bottom w:w="80" w:type="dxa"/>
              <w:left w:w="100" w:type="dxa"/>
              <w:right w:w="100" w:type="dxa"/>
            </w:tcMar>
          </w:tcPr>
          <w:p>
            <w:pPr>
              <w:spacing w:before="40" w:after="40"/>
            </w:pPr>
            <w:r>
              <w:rPr>
                <w:rFonts w:ascii="Calibri" w:hAnsi="Calibri"/>
                <w:sz w:val="20"/>
              </w:rPr>
              <w:t>13.18</w:t>
            </w:r>
          </w:p>
        </w:tc>
        <w:tc>
          <w:tcPr>
            <w:tcW w:type="dxa" w:w="1800"/>
            <w:shd w:fill="FFFFFF"/>
            <w:tcMar>
              <w:top w:w="80" w:type="dxa"/>
              <w:bottom w:w="80" w:type="dxa"/>
              <w:left w:w="100" w:type="dxa"/>
              <w:right w:w="100" w:type="dxa"/>
            </w:tcMar>
          </w:tcPr>
          <w:p>
            <w:pPr>
              <w:spacing w:before="40" w:after="40"/>
            </w:pPr>
            <w:r>
              <w:rPr>
                <w:rFonts w:ascii="Calibri" w:hAnsi="Calibri"/>
                <w:sz w:val="20"/>
              </w:rPr>
              <w:t>7.54</w:t>
            </w:r>
          </w:p>
        </w:tc>
        <w:tc>
          <w:tcPr>
            <w:tcW w:type="dxa" w:w="5640"/>
            <w:shd w:fill="FFFFFF"/>
            <w:tcMar>
              <w:top w:w="80" w:type="dxa"/>
              <w:bottom w:w="80" w:type="dxa"/>
              <w:left w:w="100" w:type="dxa"/>
              <w:right w:w="100" w:type="dxa"/>
            </w:tcMar>
          </w:tcPr>
          <w:p>
            <w:pPr>
              <w:spacing w:before="40" w:after="40"/>
            </w:pPr>
            <w:r>
              <w:rPr>
                <w:rFonts w:ascii="Calibri" w:hAnsi="Calibri"/>
                <w:sz w:val="20"/>
              </w:rPr>
              <w:t>Building boundary regularization, facade sharpness</w:t>
            </w:r>
          </w:p>
        </w:tc>
      </w:tr>
      <w:tr>
        <w:tc>
          <w:tcPr>
            <w:tcW w:type="dxa" w:w="1400"/>
            <w:shd w:fill="F2F5FA"/>
            <w:tcMar>
              <w:top w:w="80" w:type="dxa"/>
              <w:bottom w:w="80" w:type="dxa"/>
              <w:left w:w="100" w:type="dxa"/>
              <w:right w:w="100" w:type="dxa"/>
            </w:tcMar>
          </w:tcPr>
          <w:p>
            <w:pPr>
              <w:spacing w:before="40" w:after="40"/>
            </w:pPr>
            <w:r>
              <w:rPr>
                <w:rFonts w:ascii="Calibri" w:hAnsi="Calibri"/>
                <w:sz w:val="20"/>
              </w:rPr>
              <w:t>70</w:t>
            </w:r>
          </w:p>
        </w:tc>
        <w:tc>
          <w:tcPr>
            <w:tcW w:type="dxa" w:w="1600"/>
            <w:shd w:fill="F2F5FA"/>
            <w:tcMar>
              <w:top w:w="80" w:type="dxa"/>
              <w:bottom w:w="80" w:type="dxa"/>
              <w:left w:w="100" w:type="dxa"/>
              <w:right w:w="100" w:type="dxa"/>
            </w:tcMar>
          </w:tcPr>
          <w:p>
            <w:pPr>
              <w:spacing w:before="40" w:after="40"/>
            </w:pPr>
            <w:r>
              <w:rPr>
                <w:rFonts w:ascii="Calibri" w:hAnsi="Calibri"/>
                <w:sz w:val="20"/>
              </w:rPr>
              <w:t>12.96</w:t>
            </w:r>
          </w:p>
        </w:tc>
        <w:tc>
          <w:tcPr>
            <w:tcW w:type="dxa" w:w="1800"/>
            <w:shd w:fill="F2F5FA"/>
            <w:tcMar>
              <w:top w:w="80" w:type="dxa"/>
              <w:bottom w:w="80" w:type="dxa"/>
              <w:left w:w="100" w:type="dxa"/>
              <w:right w:w="100" w:type="dxa"/>
            </w:tcMar>
          </w:tcPr>
          <w:p>
            <w:pPr>
              <w:spacing w:before="40" w:after="40"/>
            </w:pPr>
            <w:r>
              <w:rPr>
                <w:rFonts w:ascii="Calibri" w:hAnsi="Calibri"/>
                <w:sz w:val="20"/>
              </w:rPr>
              <w:t>7.31</w:t>
            </w:r>
          </w:p>
        </w:tc>
        <w:tc>
          <w:tcPr>
            <w:tcW w:type="dxa" w:w="5640"/>
            <w:shd w:fill="F2F5FA"/>
            <w:tcMar>
              <w:top w:w="80" w:type="dxa"/>
              <w:bottom w:w="80" w:type="dxa"/>
              <w:left w:w="100" w:type="dxa"/>
              <w:right w:w="100" w:type="dxa"/>
            </w:tcMar>
          </w:tcPr>
          <w:p>
            <w:pPr>
              <w:spacing w:before="40" w:after="40"/>
            </w:pPr>
            <w:r>
              <w:rPr>
                <w:rFonts w:ascii="Calibri" w:hAnsi="Calibri"/>
                <w:sz w:val="20"/>
              </w:rPr>
              <w:t>Convergence plateau; micro-elevation sharpening</w:t>
            </w:r>
          </w:p>
        </w:tc>
      </w:tr>
      <w:tr>
        <w:tc>
          <w:tcPr>
            <w:tcW w:type="dxa" w:w="1400"/>
            <w:shd w:fill="FFFFFF"/>
            <w:tcMar>
              <w:top w:w="80" w:type="dxa"/>
              <w:bottom w:w="80" w:type="dxa"/>
              <w:left w:w="100" w:type="dxa"/>
              <w:right w:w="100" w:type="dxa"/>
            </w:tcMar>
          </w:tcPr>
          <w:p>
            <w:pPr>
              <w:spacing w:before="40" w:after="40"/>
            </w:pPr>
            <w:r>
              <w:rPr>
                <w:rFonts w:ascii="Calibri" w:hAnsi="Calibri"/>
                <w:b/>
                <w:sz w:val="20"/>
              </w:rPr>
              <w:t>77 (Best)</w:t>
            </w:r>
          </w:p>
        </w:tc>
        <w:tc>
          <w:tcPr>
            <w:tcW w:type="dxa" w:w="1600"/>
            <w:shd w:fill="FFFFFF"/>
            <w:tcMar>
              <w:top w:w="80" w:type="dxa"/>
              <w:bottom w:w="80" w:type="dxa"/>
              <w:left w:w="100" w:type="dxa"/>
              <w:right w:w="100" w:type="dxa"/>
            </w:tcMar>
          </w:tcPr>
          <w:p>
            <w:pPr>
              <w:spacing w:before="40" w:after="40"/>
            </w:pPr>
            <w:r>
              <w:rPr>
                <w:rFonts w:ascii="Calibri" w:hAnsi="Calibri"/>
                <w:sz w:val="20"/>
              </w:rPr>
              <w:t>12.80</w:t>
            </w:r>
          </w:p>
        </w:tc>
        <w:tc>
          <w:tcPr>
            <w:tcW w:type="dxa" w:w="1800"/>
            <w:shd w:fill="FFFFFF"/>
            <w:tcMar>
              <w:top w:w="80" w:type="dxa"/>
              <w:bottom w:w="80" w:type="dxa"/>
              <w:left w:w="100" w:type="dxa"/>
              <w:right w:w="100" w:type="dxa"/>
            </w:tcMar>
          </w:tcPr>
          <w:p>
            <w:pPr>
              <w:spacing w:before="40" w:after="40"/>
            </w:pPr>
            <w:r>
              <w:rPr>
                <w:rFonts w:ascii="Calibri" w:hAnsi="Calibri"/>
                <w:sz w:val="20"/>
              </w:rPr>
              <w:t>7.12</w:t>
            </w:r>
          </w:p>
        </w:tc>
        <w:tc>
          <w:tcPr>
            <w:tcW w:type="dxa" w:w="5640"/>
            <w:shd w:fill="FFFFFF"/>
            <w:tcMar>
              <w:top w:w="80" w:type="dxa"/>
              <w:bottom w:w="80" w:type="dxa"/>
              <w:left w:w="100" w:type="dxa"/>
              <w:right w:w="100" w:type="dxa"/>
            </w:tcMar>
          </w:tcPr>
          <w:p>
            <w:pPr>
              <w:spacing w:before="40" w:after="40"/>
            </w:pPr>
            <w:r>
              <w:rPr>
                <w:rFonts w:ascii="Calibri" w:hAnsi="Calibri"/>
                <w:sz w:val="20"/>
              </w:rPr>
              <w:t>Absolute minimum loss achieved (saved as decoder_best_all.pth)</w:t>
            </w:r>
          </w:p>
        </w:tc>
      </w:tr>
      <w:tr>
        <w:tc>
          <w:tcPr>
            <w:tcW w:type="dxa" w:w="1400"/>
            <w:shd w:fill="F2F5FA"/>
            <w:tcMar>
              <w:top w:w="80" w:type="dxa"/>
              <w:bottom w:w="80" w:type="dxa"/>
              <w:left w:w="100" w:type="dxa"/>
              <w:right w:w="100" w:type="dxa"/>
            </w:tcMar>
          </w:tcPr>
          <w:p>
            <w:pPr>
              <w:spacing w:before="40" w:after="40"/>
            </w:pPr>
            <w:r>
              <w:rPr>
                <w:rFonts w:ascii="Calibri" w:hAnsi="Calibri"/>
                <w:sz w:val="20"/>
              </w:rPr>
              <w:t>78 (Final)</w:t>
            </w:r>
          </w:p>
        </w:tc>
        <w:tc>
          <w:tcPr>
            <w:tcW w:type="dxa" w:w="1600"/>
            <w:shd w:fill="F2F5FA"/>
            <w:tcMar>
              <w:top w:w="80" w:type="dxa"/>
              <w:bottom w:w="80" w:type="dxa"/>
              <w:left w:w="100" w:type="dxa"/>
              <w:right w:w="100" w:type="dxa"/>
            </w:tcMar>
          </w:tcPr>
          <w:p>
            <w:pPr>
              <w:spacing w:before="40" w:after="40"/>
            </w:pPr>
            <w:r>
              <w:rPr>
                <w:rFonts w:ascii="Calibri" w:hAnsi="Calibri"/>
                <w:sz w:val="20"/>
              </w:rPr>
              <w:t>12.94</w:t>
            </w:r>
          </w:p>
        </w:tc>
        <w:tc>
          <w:tcPr>
            <w:tcW w:type="dxa" w:w="1800"/>
            <w:shd w:fill="F2F5FA"/>
            <w:tcMar>
              <w:top w:w="80" w:type="dxa"/>
              <w:bottom w:w="80" w:type="dxa"/>
              <w:left w:w="100" w:type="dxa"/>
              <w:right w:w="100" w:type="dxa"/>
            </w:tcMar>
          </w:tcPr>
          <w:p>
            <w:pPr>
              <w:spacing w:before="40" w:after="40"/>
            </w:pPr>
            <w:r>
              <w:rPr>
                <w:rFonts w:ascii="Calibri" w:hAnsi="Calibri"/>
                <w:sz w:val="20"/>
              </w:rPr>
              <w:t>7.18</w:t>
            </w:r>
          </w:p>
        </w:tc>
        <w:tc>
          <w:tcPr>
            <w:tcW w:type="dxa" w:w="5640"/>
            <w:shd w:fill="F2F5FA"/>
            <w:tcMar>
              <w:top w:w="80" w:type="dxa"/>
              <w:bottom w:w="80" w:type="dxa"/>
              <w:left w:w="100" w:type="dxa"/>
              <w:right w:w="100" w:type="dxa"/>
            </w:tcMar>
          </w:tcPr>
          <w:p>
            <w:pPr>
              <w:spacing w:before="40" w:after="40"/>
            </w:pPr>
            <w:r>
              <w:rPr>
                <w:rFonts w:ascii="Calibri" w:hAnsi="Calibri"/>
                <w:sz w:val="20"/>
              </w:rPr>
              <w:t>Final epoch before Kaggle 12-hour (43,200s) timeout (decoder_ep78_all.pth)</w:t>
            </w:r>
          </w:p>
        </w:tc>
      </w:tr>
    </w:tbl>
    <w:p>
      <w:r/>
      <w:r>
        <w:rPr>
          <w:rFonts w:ascii="Calibri" w:hAnsi="Calibri"/>
          <w:b/>
          <w:color w:val="1F3864"/>
          <w:sz w:val="22"/>
        </w:rPr>
        <w:t xml:space="preserve">The Dual-Checkpoint Architecture: </w:t>
      </w:r>
      <w:r>
        <w:rPr>
          <w:rFonts w:ascii="Calibri" w:hAnsi="Calibri"/>
          <w:sz w:val="22"/>
        </w:rPr>
        <w:t>Training produced two distinct checkpoint types: regular epoch saves like decoder_ep78_all.pth (16.43 MB) which store full AdamW first and second momentum buffers to allow seamless training resumption, and decoder_best_all.pth (5.49 MB) which strips all optimizer buffers and contains only the pure neural network weights. This 66% size reduction allows the best model to load instantaneously with near-zero latency in the web application.</w:t>
      </w:r>
    </w:p>
    <w:p>
      <w:pPr>
        <w:spacing w:after="160"/>
      </w:pPr>
      <w:r/>
      <w:r>
        <w:rPr>
          <w:rFonts w:ascii="Calibri" w:hAnsi="Calibri"/>
          <w:b/>
          <w:color w:val="1F3864"/>
          <w:sz w:val="22"/>
        </w:rPr>
        <w:t xml:space="preserve">Talking point: </w:t>
      </w:r>
      <w:r>
        <w:rPr>
          <w:rFonts w:ascii="Calibri" w:hAnsi="Calibri"/>
          <w:sz w:val="22"/>
        </w:rPr>
        <w:t>The model completed 78 continuous epochs during a 12-hour Kaggle GPU session before reaching the platform timeout (43,200 seconds). Loss decreased smoothly from 46.82 to an optimal minimum of 12.80 at Epoch 77. The complete absence of NaN or exploding gradients across all 78 epochs confirms that the log1p numerical stabilization and variance clamping completely resolved the zero-elevation singularity.</w:t>
      </w:r>
    </w:p>
    <w:p>
      <w:pPr>
        <w:pStyle w:val="Heading2"/>
        <w:spacing w:after="150" w:before="300"/>
      </w:pPr>
      <w:r>
        <w:t xml:space="preserve">6.4 Benchmark comparison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0"/>
        <w:gridCol w:w="1160"/>
        <w:gridCol w:w="1160"/>
        <w:gridCol w:w="1160"/>
        <w:gridCol w:w="1400"/>
        <w:gridCol w:w="1720"/>
      </w:tblGrid>
      <w:tr>
        <w:trPr>
          <w:tblHeader/>
        </w:trPr>
        <w:tc>
          <w:tcPr>
            <w:tcW w:type="dxa" w:w="2840"/>
            <w:shd w:fill="1F3864" w:val="clear"/>
          </w:tcPr>
          <w:p>
            <w:r>
              <w:rPr>
                <w:b/>
                <w:bCs/>
                <w:color w:val="FFFFFF"/>
                <w:sz w:val="20"/>
                <w:szCs w:val="20"/>
              </w:rPr>
              <w:t xml:space="preserve">Model</w:t>
            </w:r>
          </w:p>
        </w:tc>
        <w:tc>
          <w:tcPr>
            <w:tcW w:type="dxa" w:w="1160"/>
            <w:shd w:fill="1F3864" w:val="clear"/>
          </w:tcPr>
          <w:p>
            <w:r>
              <w:rPr>
                <w:b/>
                <w:bCs/>
                <w:color w:val="FFFFFF"/>
                <w:sz w:val="20"/>
                <w:szCs w:val="20"/>
              </w:rPr>
              <w:t xml:space="preserve">RMSE (m) ↓</w:t>
            </w:r>
          </w:p>
        </w:tc>
        <w:tc>
          <w:tcPr>
            <w:tcW w:type="dxa" w:w="1160"/>
            <w:shd w:fill="1F3864" w:val="clear"/>
          </w:tcPr>
          <w:p>
            <w:r>
              <w:rPr>
                <w:b/>
                <w:bCs/>
                <w:color w:val="FFFFFF"/>
                <w:sz w:val="20"/>
                <w:szCs w:val="20"/>
              </w:rPr>
              <w:t xml:space="preserve">MAE (m) ↓</w:t>
            </w:r>
          </w:p>
        </w:tc>
        <w:tc>
          <w:tcPr>
            <w:tcW w:type="dxa" w:w="1160"/>
            <w:shd w:fill="1F3864" w:val="clear"/>
          </w:tcPr>
          <w:p>
            <w:r>
              <w:rPr>
                <w:b/>
                <w:bCs/>
                <w:color w:val="FFFFFF"/>
                <w:sz w:val="20"/>
                <w:szCs w:val="20"/>
              </w:rPr>
              <w:t xml:space="preserve">AbsRel ↓</w:t>
            </w:r>
          </w:p>
        </w:tc>
        <w:tc>
          <w:tcPr>
            <w:tcW w:type="dxa" w:w="1400"/>
            <w:shd w:fill="1F3864" w:val="clear"/>
          </w:tcPr>
          <w:p>
            <w:r>
              <w:rPr>
                <w:b/>
                <w:bCs/>
                <w:color w:val="FFFFFF"/>
                <w:sz w:val="20"/>
                <w:szCs w:val="20"/>
              </w:rPr>
              <w:t xml:space="preserve">δ&lt;1.25 (%) ↑</w:t>
            </w:r>
          </w:p>
        </w:tc>
        <w:tc>
          <w:tcPr>
            <w:tcW w:type="dxa" w:w="1720"/>
            <w:shd w:fill="1F3864" w:val="clear"/>
          </w:tcPr>
          <w:p>
            <w:r>
              <w:rPr>
                <w:b/>
                <w:bCs/>
                <w:color w:val="FFFFFF"/>
                <w:sz w:val="20"/>
                <w:szCs w:val="20"/>
              </w:rPr>
              <w:t xml:space="preserve">δ&lt;1.25² (%) ↑</w:t>
            </w:r>
          </w:p>
        </w:tc>
      </w:tr>
      <w:tr>
        <w:tc>
          <w:tcPr>
            <w:tcW w:type="dxa" w:w="2840"/>
            <w:shd w:fill="FFFFFF" w:val="clear"/>
          </w:tcPr>
          <w:p>
            <w:r>
              <w:rPr>
                <w:sz w:val="20"/>
                <w:szCs w:val="20"/>
              </w:rPr>
              <w:t xml:space="preserve">Heuristic Baseline (DA2 + 30m cap)</w:t>
            </w:r>
          </w:p>
        </w:tc>
        <w:tc>
          <w:tcPr>
            <w:tcW w:type="dxa" w:w="1160"/>
            <w:shd w:fill="FFFFFF" w:val="clear"/>
          </w:tcPr>
          <w:p>
            <w:r>
              <w:rPr>
                <w:sz w:val="20"/>
                <w:szCs w:val="20"/>
              </w:rPr>
              <w:t xml:space="preserve">8.42</w:t>
            </w:r>
          </w:p>
        </w:tc>
        <w:tc>
          <w:tcPr>
            <w:tcW w:type="dxa" w:w="1160"/>
            <w:shd w:fill="FFFFFF" w:val="clear"/>
          </w:tcPr>
          <w:p>
            <w:r>
              <w:rPr>
                <w:sz w:val="20"/>
                <w:szCs w:val="20"/>
              </w:rPr>
              <w:t xml:space="preserve">6.18</w:t>
            </w:r>
          </w:p>
        </w:tc>
        <w:tc>
          <w:tcPr>
            <w:tcW w:type="dxa" w:w="1160"/>
            <w:shd w:fill="FFFFFF" w:val="clear"/>
          </w:tcPr>
          <w:p>
            <w:r>
              <w:rPr>
                <w:sz w:val="20"/>
                <w:szCs w:val="20"/>
              </w:rPr>
              <w:t xml:space="preserve">0.412</w:t>
            </w:r>
          </w:p>
        </w:tc>
        <w:tc>
          <w:tcPr>
            <w:tcW w:type="dxa" w:w="1400"/>
            <w:shd w:fill="FFFFFF" w:val="clear"/>
          </w:tcPr>
          <w:p>
            <w:r>
              <w:rPr>
                <w:sz w:val="20"/>
                <w:szCs w:val="20"/>
              </w:rPr>
              <w:t xml:space="preserve">51.3%</w:t>
            </w:r>
          </w:p>
        </w:tc>
        <w:tc>
          <w:tcPr>
            <w:tcW w:type="dxa" w:w="1720"/>
            <w:shd w:fill="FFFFFF" w:val="clear"/>
          </w:tcPr>
          <w:p>
            <w:r>
              <w:rPr>
                <w:sz w:val="20"/>
                <w:szCs w:val="20"/>
              </w:rPr>
              <w:t xml:space="preserve">76.8%</w:t>
            </w:r>
          </w:p>
        </w:tc>
      </w:tr>
      <w:tr>
        <w:tc>
          <w:tcPr>
            <w:tcW w:type="dxa" w:w="2840"/>
            <w:shd w:fill="F2F5FA" w:val="clear"/>
          </w:tcPr>
          <w:p>
            <w:r>
              <w:rPr>
                <w:sz w:val="20"/>
                <w:szCs w:val="20"/>
              </w:rPr>
              <w:t xml:space="preserve">Linear Scale/Shift (RANSAC + coarse DEM)</w:t>
            </w:r>
          </w:p>
        </w:tc>
        <w:tc>
          <w:tcPr>
            <w:tcW w:type="dxa" w:w="1160"/>
            <w:shd w:fill="F2F5FA" w:val="clear"/>
          </w:tcPr>
          <w:p>
            <w:r>
              <w:rPr>
                <w:sz w:val="20"/>
                <w:szCs w:val="20"/>
              </w:rPr>
              <w:t xml:space="preserve">4.85</w:t>
            </w:r>
          </w:p>
        </w:tc>
        <w:tc>
          <w:tcPr>
            <w:tcW w:type="dxa" w:w="1160"/>
            <w:shd w:fill="F2F5FA" w:val="clear"/>
          </w:tcPr>
          <w:p>
            <w:r>
              <w:rPr>
                <w:sz w:val="20"/>
                <w:szCs w:val="20"/>
              </w:rPr>
              <w:t xml:space="preserve">3.52</w:t>
            </w:r>
          </w:p>
        </w:tc>
        <w:tc>
          <w:tcPr>
            <w:tcW w:type="dxa" w:w="1160"/>
            <w:shd w:fill="F2F5FA" w:val="clear"/>
          </w:tcPr>
          <w:p>
            <w:r>
              <w:rPr>
                <w:sz w:val="20"/>
                <w:szCs w:val="20"/>
              </w:rPr>
              <w:t xml:space="preserve">0.234</w:t>
            </w:r>
          </w:p>
        </w:tc>
        <w:tc>
          <w:tcPr>
            <w:tcW w:type="dxa" w:w="1400"/>
            <w:shd w:fill="F2F5FA" w:val="clear"/>
          </w:tcPr>
          <w:p>
            <w:r>
              <w:rPr>
                <w:sz w:val="20"/>
                <w:szCs w:val="20"/>
              </w:rPr>
              <w:t xml:space="preserve">74.2%</w:t>
            </w:r>
          </w:p>
        </w:tc>
        <w:tc>
          <w:tcPr>
            <w:tcW w:type="dxa" w:w="1720"/>
            <w:shd w:fill="F2F5FA" w:val="clear"/>
          </w:tcPr>
          <w:p>
            <w:r>
              <w:rPr>
                <w:sz w:val="20"/>
                <w:szCs w:val="20"/>
              </w:rPr>
              <w:t xml:space="preserve">88.5%</w:t>
            </w:r>
          </w:p>
        </w:tc>
      </w:tr>
      <w:tr>
        <w:tc>
          <w:tcPr>
            <w:tcW w:type="dxa" w:w="2840"/>
            <w:shd w:fill="FFFFFF" w:val="clear"/>
          </w:tcPr>
          <w:p>
            <w:r>
              <w:rPr>
                <w:sz w:val="20"/>
                <w:szCs w:val="20"/>
              </w:rPr>
              <w:t xml:space="preserve">Heimdall SOTA (DA3 + ASPP)</w:t>
            </w:r>
          </w:p>
        </w:tc>
        <w:tc>
          <w:tcPr>
            <w:tcW w:type="dxa" w:w="1160"/>
            <w:shd w:fill="FFFFFF" w:val="clear"/>
          </w:tcPr>
          <w:p>
            <w:r>
              <w:rPr>
                <w:sz w:val="20"/>
                <w:szCs w:val="20"/>
              </w:rPr>
              <w:t xml:space="preserve">2.18</w:t>
            </w:r>
          </w:p>
        </w:tc>
        <w:tc>
          <w:tcPr>
            <w:tcW w:type="dxa" w:w="1160"/>
            <w:shd w:fill="FFFFFF" w:val="clear"/>
          </w:tcPr>
          <w:p>
            <w:r>
              <w:rPr>
                <w:sz w:val="20"/>
                <w:szCs w:val="20"/>
              </w:rPr>
              <w:t xml:space="preserve">1.64</w:t>
            </w:r>
          </w:p>
        </w:tc>
        <w:tc>
          <w:tcPr>
            <w:tcW w:type="dxa" w:w="1160"/>
            <w:shd w:fill="FFFFFF" w:val="clear"/>
          </w:tcPr>
          <w:p>
            <w:r>
              <w:rPr>
                <w:sz w:val="20"/>
                <w:szCs w:val="20"/>
              </w:rPr>
              <w:t xml:space="preserve">0.118</w:t>
            </w:r>
          </w:p>
        </w:tc>
        <w:tc>
          <w:tcPr>
            <w:tcW w:type="dxa" w:w="1400"/>
            <w:shd w:fill="FFFFFF" w:val="clear"/>
          </w:tcPr>
          <w:p>
            <w:r>
              <w:rPr>
                <w:sz w:val="20"/>
                <w:szCs w:val="20"/>
              </w:rPr>
              <w:t xml:space="preserve">88.6%</w:t>
            </w:r>
          </w:p>
        </w:tc>
        <w:tc>
          <w:tcPr>
            <w:tcW w:type="dxa" w:w="1720"/>
            <w:shd w:fill="FFFFFF" w:val="clear"/>
          </w:tcPr>
          <w:p>
            <w:r>
              <w:rPr>
                <w:sz w:val="20"/>
                <w:szCs w:val="20"/>
              </w:rPr>
              <w:t xml:space="preserve">96.4%</w:t>
            </w:r>
          </w:p>
        </w:tc>
      </w:tr>
    </w:tbl>
    <w:p>
      <w:pPr>
        <w:spacing w:after="160"/>
      </w:pPr>
      <w:r>
        <w:rPr>
          <w:b/>
          <w:bCs/>
        </w:rPr>
        <w:t xml:space="preserve">Headline stat for your deck: Heimdall achieves sub-2.5m vertical accuracy from a single image — a 3.9x RMSE improvement over the naive baseline.</w:t>
      </w:r>
    </w:p>
    <w:p>
      <w:pPr>
        <w:spacing w:before="60" w:after="60"/>
      </w:pPr>
      <w:r>
        <w:rPr>
          <w:rFonts w:ascii="Calibri" w:hAnsi="Calibri"/>
          <w:sz w:val="22"/>
        </w:rPr>
        <w:t>6.5 Empirical Validation on Real Satellite GeoTIFF</w:t>
      </w:r>
    </w:p>
    <w:p>
      <w:pPr>
        <w:spacing w:before="60" w:after="60"/>
      </w:pPr>
      <w:r>
        <w:rPr>
          <w:rFonts w:ascii="Calibri" w:hAnsi="Calibri"/>
          <w:sz w:val="22"/>
        </w:rPr>
        <w:t>To validate real-world operational generalization beyond training benchmarks, Heimdall was evaluated on a live, high-resolution commercial satellite scene (8K tile, UTM Zone 45N, EPSG:32645) using the production decoder_best_all.pth weights:</w:t>
      </w:r>
    </w:p>
    <w:tbl>
      <w:tblPr>
        <w:tblW w:type="auto" w:w="0"/>
        <w:tblLook w:firstColumn="1" w:firstRow="1" w:lastColumn="0" w:lastRow="0" w:noHBand="0" w:noVBand="1" w:val="04A0"/>
      </w:tblPr>
      <w:tblGrid>
        <w:gridCol w:w="3120"/>
        <w:gridCol w:w="3120"/>
        <w:gridCol w:w="3120"/>
      </w:tblGrid>
      <w:tr>
        <w:tc>
          <w:tcPr>
            <w:tcW w:type="dxa" w:w="2592"/>
            <w:shd w:fill="1F3864"/>
            <w:tcMar>
              <w:top w:w="100" w:type="dxa"/>
              <w:bottom w:w="100" w:type="dxa"/>
              <w:left w:w="120" w:type="dxa"/>
              <w:right w:w="120" w:type="dxa"/>
            </w:tcMar>
          </w:tcPr>
          <w:p>
            <w:pPr>
              <w:spacing w:before="40" w:after="40"/>
            </w:pPr>
            <w:r>
              <w:rPr>
                <w:rFonts w:ascii="Calibri" w:hAnsi="Calibri"/>
                <w:b/>
                <w:color w:val="FFFFFF"/>
                <w:sz w:val="20"/>
              </w:rPr>
              <w:t>Metric / Deliverable</w:t>
            </w:r>
          </w:p>
        </w:tc>
        <w:tc>
          <w:tcPr>
            <w:tcW w:type="dxa" w:w="2592"/>
            <w:shd w:fill="1F3864"/>
            <w:tcMar>
              <w:top w:w="100" w:type="dxa"/>
              <w:bottom w:w="100" w:type="dxa"/>
              <w:left w:w="120" w:type="dxa"/>
              <w:right w:w="120" w:type="dxa"/>
            </w:tcMar>
          </w:tcPr>
          <w:p>
            <w:pPr>
              <w:spacing w:before="40" w:after="40"/>
            </w:pPr>
            <w:r>
              <w:rPr>
                <w:rFonts w:ascii="Calibri" w:hAnsi="Calibri"/>
                <w:b/>
                <w:color w:val="FFFFFF"/>
                <w:sz w:val="20"/>
              </w:rPr>
              <w:t>Measured Value</w:t>
            </w:r>
          </w:p>
        </w:tc>
        <w:tc>
          <w:tcPr>
            <w:tcW w:type="dxa" w:w="4176"/>
            <w:shd w:fill="1F3864"/>
            <w:tcMar>
              <w:top w:w="100" w:type="dxa"/>
              <w:bottom w:w="100" w:type="dxa"/>
              <w:left w:w="120" w:type="dxa"/>
              <w:right w:w="120" w:type="dxa"/>
            </w:tcMar>
          </w:tcPr>
          <w:p>
            <w:pPr>
              <w:spacing w:before="40" w:after="40"/>
            </w:pPr>
            <w:r>
              <w:rPr>
                <w:rFonts w:ascii="Calibri" w:hAnsi="Calibri"/>
                <w:b/>
                <w:color w:val="FFFFFF"/>
                <w:sz w:val="20"/>
              </w:rPr>
              <w:t>Operational Significance</w:t>
            </w:r>
          </w:p>
        </w:tc>
      </w:tr>
      <w:tr>
        <w:tc>
          <w:tcPr>
            <w:tcW w:type="dxa" w:w="2592"/>
            <w:shd w:fill="FFFFFF"/>
            <w:tcMar>
              <w:top w:w="80" w:type="dxa"/>
              <w:bottom w:w="80" w:type="dxa"/>
              <w:left w:w="100" w:type="dxa"/>
              <w:right w:w="100" w:type="dxa"/>
            </w:tcMar>
          </w:tcPr>
          <w:p>
            <w:pPr>
              <w:spacing w:before="40" w:after="40"/>
            </w:pPr>
            <w:r>
              <w:rPr>
                <w:rFonts w:ascii="Calibri" w:hAnsi="Calibri"/>
                <w:b/>
                <w:sz w:val="20"/>
              </w:rPr>
              <w:t>Elevation Range</w:t>
            </w:r>
          </w:p>
        </w:tc>
        <w:tc>
          <w:tcPr>
            <w:tcW w:type="dxa" w:w="2592"/>
            <w:shd w:fill="FFFFFF"/>
            <w:tcMar>
              <w:top w:w="80" w:type="dxa"/>
              <w:bottom w:w="80" w:type="dxa"/>
              <w:left w:w="100" w:type="dxa"/>
              <w:right w:w="100" w:type="dxa"/>
            </w:tcMar>
          </w:tcPr>
          <w:p>
            <w:pPr>
              <w:spacing w:before="40" w:after="40"/>
            </w:pPr>
            <w:r>
              <w:rPr>
                <w:rFonts w:ascii="Calibri" w:hAnsi="Calibri"/>
                <w:sz w:val="20"/>
              </w:rPr>
              <w:t>0.000m – 19.913m</w:t>
            </w:r>
          </w:p>
        </w:tc>
        <w:tc>
          <w:tcPr>
            <w:tcW w:type="dxa" w:w="4176"/>
            <w:shd w:fill="FFFFFF"/>
            <w:tcMar>
              <w:top w:w="80" w:type="dxa"/>
              <w:bottom w:w="80" w:type="dxa"/>
              <w:left w:w="100" w:type="dxa"/>
              <w:right w:w="100" w:type="dxa"/>
            </w:tcMar>
          </w:tcPr>
          <w:p>
            <w:pPr>
              <w:spacing w:before="40" w:after="40"/>
            </w:pPr>
            <w:r>
              <w:rPr>
                <w:rFonts w:ascii="Calibri" w:hAnsi="Calibri"/>
                <w:sz w:val="20"/>
              </w:rPr>
              <w:t>Flat ground locked to 0.00m baseline; commercial structures correctly resolved to ~20m height</w:t>
            </w:r>
          </w:p>
        </w:tc>
      </w:tr>
      <w:tr>
        <w:tc>
          <w:tcPr>
            <w:tcW w:type="dxa" w:w="2592"/>
            <w:shd w:fill="F2F5FA"/>
            <w:tcMar>
              <w:top w:w="80" w:type="dxa"/>
              <w:bottom w:w="80" w:type="dxa"/>
              <w:left w:w="100" w:type="dxa"/>
              <w:right w:w="100" w:type="dxa"/>
            </w:tcMar>
          </w:tcPr>
          <w:p>
            <w:pPr>
              <w:spacing w:before="40" w:after="40"/>
            </w:pPr>
            <w:r>
              <w:rPr>
                <w:rFonts w:ascii="Calibri" w:hAnsi="Calibri"/>
                <w:b/>
                <w:sz w:val="20"/>
              </w:rPr>
              <w:t>Mean Elevation</w:t>
            </w:r>
          </w:p>
        </w:tc>
        <w:tc>
          <w:tcPr>
            <w:tcW w:type="dxa" w:w="2592"/>
            <w:shd w:fill="F2F5FA"/>
            <w:tcMar>
              <w:top w:w="80" w:type="dxa"/>
              <w:bottom w:w="80" w:type="dxa"/>
              <w:left w:w="100" w:type="dxa"/>
              <w:right w:w="100" w:type="dxa"/>
            </w:tcMar>
          </w:tcPr>
          <w:p>
            <w:pPr>
              <w:spacing w:before="40" w:after="40"/>
            </w:pPr>
            <w:r>
              <w:rPr>
                <w:rFonts w:ascii="Calibri" w:hAnsi="Calibri"/>
                <w:sz w:val="20"/>
              </w:rPr>
              <w:t>2.210m</w:t>
            </w:r>
          </w:p>
        </w:tc>
        <w:tc>
          <w:tcPr>
            <w:tcW w:type="dxa" w:w="4176"/>
            <w:shd w:fill="F2F5FA"/>
            <w:tcMar>
              <w:top w:w="80" w:type="dxa"/>
              <w:bottom w:w="80" w:type="dxa"/>
              <w:left w:w="100" w:type="dxa"/>
              <w:right w:w="100" w:type="dxa"/>
            </w:tcMar>
          </w:tcPr>
          <w:p>
            <w:pPr>
              <w:spacing w:before="40" w:after="40"/>
            </w:pPr>
            <w:r>
              <w:rPr>
                <w:rFonts w:ascii="Calibri" w:hAnsi="Calibri"/>
                <w:sz w:val="20"/>
              </w:rPr>
              <w:t>Accurately models open streets, parking areas, and low-rise residential density</w:t>
            </w:r>
          </w:p>
        </w:tc>
      </w:tr>
      <w:tr>
        <w:tc>
          <w:tcPr>
            <w:tcW w:type="dxa" w:w="2592"/>
            <w:shd w:fill="FFFFFF"/>
            <w:tcMar>
              <w:top w:w="80" w:type="dxa"/>
              <w:bottom w:w="80" w:type="dxa"/>
              <w:left w:w="100" w:type="dxa"/>
              <w:right w:w="100" w:type="dxa"/>
            </w:tcMar>
          </w:tcPr>
          <w:p>
            <w:pPr>
              <w:spacing w:before="40" w:after="40"/>
            </w:pPr>
            <w:r>
              <w:rPr>
                <w:rFonts w:ascii="Calibri" w:hAnsi="Calibri"/>
                <w:b/>
                <w:sz w:val="20"/>
              </w:rPr>
              <w:t>Mesh Complexity</w:t>
            </w:r>
          </w:p>
        </w:tc>
        <w:tc>
          <w:tcPr>
            <w:tcW w:type="dxa" w:w="2592"/>
            <w:shd w:fill="FFFFFF"/>
            <w:tcMar>
              <w:top w:w="80" w:type="dxa"/>
              <w:bottom w:w="80" w:type="dxa"/>
              <w:left w:w="100" w:type="dxa"/>
              <w:right w:w="100" w:type="dxa"/>
            </w:tcMar>
          </w:tcPr>
          <w:p>
            <w:pPr>
              <w:spacing w:before="40" w:after="40"/>
            </w:pPr>
            <w:r>
              <w:rPr>
                <w:rFonts w:ascii="Calibri" w:hAnsi="Calibri"/>
                <w:sz w:val="20"/>
              </w:rPr>
              <w:t>246,018 vertices</w:t>
            </w:r>
          </w:p>
        </w:tc>
        <w:tc>
          <w:tcPr>
            <w:tcW w:type="dxa" w:w="4176"/>
            <w:shd w:fill="FFFFFF"/>
            <w:tcMar>
              <w:top w:w="80" w:type="dxa"/>
              <w:bottom w:w="80" w:type="dxa"/>
              <w:left w:w="100" w:type="dxa"/>
              <w:right w:w="100" w:type="dxa"/>
            </w:tcMar>
          </w:tcPr>
          <w:p>
            <w:pPr>
              <w:spacing w:before="40" w:after="40"/>
            </w:pPr>
            <w:r>
              <w:rPr>
                <w:rFonts w:ascii="Calibri" w:hAnsi="Calibri"/>
                <w:sz w:val="20"/>
              </w:rPr>
              <w:t>Dense polygonal surface capturing fine architectural parapets, roof slope angles, and tree canopies</w:t>
            </w:r>
          </w:p>
        </w:tc>
      </w:tr>
      <w:tr>
        <w:tc>
          <w:tcPr>
            <w:tcW w:type="dxa" w:w="2592"/>
            <w:shd w:fill="F2F5FA"/>
            <w:tcMar>
              <w:top w:w="80" w:type="dxa"/>
              <w:bottom w:w="80" w:type="dxa"/>
              <w:left w:w="100" w:type="dxa"/>
              <w:right w:w="100" w:type="dxa"/>
            </w:tcMar>
          </w:tcPr>
          <w:p>
            <w:pPr>
              <w:spacing w:before="40" w:after="40"/>
            </w:pPr>
            <w:r>
              <w:rPr>
                <w:rFonts w:ascii="Calibri" w:hAnsi="Calibri"/>
                <w:b/>
                <w:sz w:val="20"/>
              </w:rPr>
              <w:t>Metric DSM Raster</w:t>
            </w:r>
          </w:p>
        </w:tc>
        <w:tc>
          <w:tcPr>
            <w:tcW w:type="dxa" w:w="2592"/>
            <w:shd w:fill="F2F5FA"/>
            <w:tcMar>
              <w:top w:w="80" w:type="dxa"/>
              <w:bottom w:w="80" w:type="dxa"/>
              <w:left w:w="100" w:type="dxa"/>
              <w:right w:w="100" w:type="dxa"/>
            </w:tcMar>
          </w:tcPr>
          <w:p>
            <w:pPr>
              <w:spacing w:before="40" w:after="40"/>
            </w:pPr>
            <w:r>
              <w:rPr>
                <w:rFonts w:ascii="Calibri" w:hAnsi="Calibri"/>
                <w:sz w:val="20"/>
              </w:rPr>
              <w:t>32-bit Float GeoTIFF (9.8 MB)</w:t>
            </w:r>
          </w:p>
        </w:tc>
        <w:tc>
          <w:tcPr>
            <w:tcW w:type="dxa" w:w="4176"/>
            <w:shd w:fill="F2F5FA"/>
            <w:tcMar>
              <w:top w:w="80" w:type="dxa"/>
              <w:bottom w:w="80" w:type="dxa"/>
              <w:left w:w="100" w:type="dxa"/>
              <w:right w:w="100" w:type="dxa"/>
            </w:tcMar>
          </w:tcPr>
          <w:p>
            <w:pPr>
              <w:spacing w:before="40" w:after="40"/>
            </w:pPr>
            <w:r>
              <w:rPr>
                <w:rFonts w:ascii="Calibri" w:hAnsi="Calibri"/>
                <w:sz w:val="20"/>
              </w:rPr>
              <w:t>Directly ingestible into ArcGIS/QGIS with preserved UTM coordinates, spatial extents, and GSD</w:t>
            </w:r>
          </w:p>
        </w:tc>
      </w:tr>
      <w:tr>
        <w:tc>
          <w:tcPr>
            <w:tcW w:type="dxa" w:w="2592"/>
            <w:shd w:fill="FFFFFF"/>
            <w:tcMar>
              <w:top w:w="80" w:type="dxa"/>
              <w:bottom w:w="80" w:type="dxa"/>
              <w:left w:w="100" w:type="dxa"/>
              <w:right w:w="100" w:type="dxa"/>
            </w:tcMar>
          </w:tcPr>
          <w:p>
            <w:pPr>
              <w:spacing w:before="40" w:after="40"/>
            </w:pPr>
            <w:r>
              <w:rPr>
                <w:rFonts w:ascii="Calibri" w:hAnsi="Calibri"/>
                <w:b/>
                <w:sz w:val="20"/>
              </w:rPr>
              <w:t>Interactive 3D Mesh</w:t>
            </w:r>
          </w:p>
        </w:tc>
        <w:tc>
          <w:tcPr>
            <w:tcW w:type="dxa" w:w="2592"/>
            <w:shd w:fill="FFFFFF"/>
            <w:tcMar>
              <w:top w:w="80" w:type="dxa"/>
              <w:bottom w:w="80" w:type="dxa"/>
              <w:left w:w="100" w:type="dxa"/>
              <w:right w:w="100" w:type="dxa"/>
            </w:tcMar>
          </w:tcPr>
          <w:p>
            <w:pPr>
              <w:spacing w:before="40" w:after="40"/>
            </w:pPr>
            <w:r>
              <w:rPr>
                <w:rFonts w:ascii="Calibri" w:hAnsi="Calibri"/>
                <w:sz w:val="20"/>
              </w:rPr>
              <w:t>Binary glTF / .glb (9.4 MB)</w:t>
            </w:r>
          </w:p>
        </w:tc>
        <w:tc>
          <w:tcPr>
            <w:tcW w:type="dxa" w:w="4176"/>
            <w:shd w:fill="FFFFFF"/>
            <w:tcMar>
              <w:top w:w="80" w:type="dxa"/>
              <w:bottom w:w="80" w:type="dxa"/>
              <w:left w:w="100" w:type="dxa"/>
              <w:right w:w="100" w:type="dxa"/>
            </w:tcMar>
          </w:tcPr>
          <w:p>
            <w:pPr>
              <w:spacing w:before="40" w:after="40"/>
            </w:pPr>
            <w:r>
              <w:rPr>
                <w:rFonts w:ascii="Calibri" w:hAnsi="Calibri"/>
                <w:sz w:val="20"/>
              </w:rPr>
              <w:t>Packaged with Draco geometry compression, UV textures, and vertex normals for instant 60 FPS WebGL flythrough</w:t>
            </w:r>
          </w:p>
        </w:tc>
      </w:tr>
    </w:tbl>
    <w:p>
      <w:pPr>
        <w:spacing w:before="60" w:after="60"/>
      </w:pPr>
      <w:r>
        <w:rPr>
          <w:rFonts w:ascii="Calibri" w:hAnsi="Calibri"/>
          <w:sz w:val="22"/>
        </w:rPr>
        <w:t>6.6 Geospatial Sliding-Window Tiling Engine (8K Processing)</w:t>
      </w:r>
    </w:p>
    <w:p>
      <w:pPr>
        <w:pStyle w:val="ListParagraph"/>
        <w:spacing w:before="60" w:after="60"/>
      </w:pPr>
      <w:r>
        <w:rPr>
          <w:rFonts w:ascii="Calibri" w:hAnsi="Calibri"/>
          <w:b/>
          <w:color w:val="1F3864"/>
          <w:sz w:val="22"/>
        </w:rPr>
        <w:t xml:space="preserve">The 8K VRAM Problem: </w:t>
      </w:r>
      <w:r>
        <w:rPr>
          <w:rFonts w:ascii="Calibri" w:hAnsi="Calibri"/>
          <w:sz w:val="22"/>
        </w:rPr>
        <w:t>Commercial satellite orthomosaics arrive at 8192×8192 pixels or larger. Passing an 8K image directly into a Vision Transformer exceeds 80GB of GPU VRAM, causing an immediate CUDA Out-Of-Memory (OOM) crash. Naive downsampling destroys all sub-meter building details.</w:t>
      </w:r>
    </w:p>
    <w:p>
      <w:pPr>
        <w:pStyle w:val="ListParagraph"/>
        <w:spacing w:before="60" w:after="60"/>
      </w:pPr>
      <w:r>
        <w:rPr>
          <w:rFonts w:ascii="Calibri" w:hAnsi="Calibri"/>
          <w:b/>
          <w:color w:val="1F3864"/>
          <w:sz w:val="22"/>
        </w:rPr>
        <w:t xml:space="preserve">Overlapping Patch Decomposition: </w:t>
      </w:r>
      <w:r>
        <w:rPr>
          <w:rFonts w:ascii="Calibri" w:hAnsi="Calibri"/>
          <w:sz w:val="22"/>
        </w:rPr>
        <w:t>Heimdall decomposes gigapixel rasters into overlapping 512×512 patches with a 64-pixel overlap margin along both spatial dimensions.</w:t>
      </w:r>
    </w:p>
    <w:p>
      <w:pPr>
        <w:pStyle w:val="ListParagraph"/>
        <w:spacing w:before="60" w:after="60"/>
      </w:pPr>
      <w:r>
        <w:rPr>
          <w:rFonts w:ascii="Calibri" w:hAnsi="Calibri"/>
          <w:b/>
          <w:color w:val="1F3864"/>
          <w:sz w:val="22"/>
        </w:rPr>
        <w:t xml:space="preserve">2D Hann Cosine-Tapered Blending: </w:t>
      </w:r>
      <w:r>
        <w:rPr>
          <w:rFonts w:ascii="Calibri" w:hAnsi="Calibri"/>
          <w:sz w:val="22"/>
        </w:rPr>
        <w:t>Neural networks suffer from edge degradation near the border of their receptive fields. Heimdall applies a 2D Hann window matrix to each predicted tile: tile centers contribute 100% weight while borders taper smoothly to zero.</w:t>
      </w:r>
    </w:p>
    <w:p>
      <w:pPr>
        <w:pStyle w:val="ListParagraph"/>
        <w:spacing w:before="60" w:after="60"/>
      </w:pPr>
      <w:r>
        <w:rPr>
          <w:rFonts w:ascii="Calibri" w:hAnsi="Calibri"/>
          <w:b/>
          <w:color w:val="1F3864"/>
          <w:sz w:val="22"/>
        </w:rPr>
        <w:t xml:space="preserve">Accumulator Reconstruction: </w:t>
      </w:r>
      <w:r>
        <w:rPr>
          <w:rFonts w:ascii="Calibri" w:hAnsi="Calibri"/>
          <w:sz w:val="22"/>
        </w:rPr>
        <w:t>Two continuous arrays (Elevation Accumulator and Weight Accumulator) integrate patches seamlessly: Final_DSM = Elevation_Accumulator / Weight_Accumulator. This mathematically eliminates visible grid cuts, seam borders, and tile boundary artifacts across gigapixel scenes.</w:t>
      </w:r>
    </w:p>
    <w:p>
      <w:pPr>
        <w:pStyle w:val="Heading1"/>
        <w:spacing w:after="200" w:before="400"/>
      </w:pPr>
      <w:r>
        <w:t xml:space="preserve">7. System Evolution: Baseline → Heimdall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20"/>
        <w:gridCol w:w="3040"/>
      </w:tblGrid>
      <w:tr>
        <w:trPr>
          <w:tblHeader/>
        </w:trPr>
        <w:tc>
          <w:tcPr>
            <w:tcW w:type="dxa" w:w="2200"/>
            <w:shd w:fill="1F3864" w:val="clear"/>
          </w:tcPr>
          <w:p>
            <w:r>
              <w:rPr>
                <w:b/>
                <w:bCs/>
                <w:color w:val="FFFFFF"/>
                <w:sz w:val="20"/>
                <w:szCs w:val="20"/>
              </w:rPr>
              <w:t xml:space="preserve">Dimension</w:t>
            </w:r>
          </w:p>
        </w:tc>
        <w:tc>
          <w:tcPr>
            <w:tcW w:type="dxa" w:w="4120"/>
            <w:shd w:fill="1F3864" w:val="clear"/>
          </w:tcPr>
          <w:p>
            <w:r>
              <w:rPr>
                <w:b/>
                <w:bCs/>
                <w:color w:val="FFFFFF"/>
                <w:sz w:val="20"/>
                <w:szCs w:val="20"/>
              </w:rPr>
              <w:t xml:space="preserve">Early Prototype</w:t>
            </w:r>
          </w:p>
        </w:tc>
        <w:tc>
          <w:tcPr>
            <w:tcW w:type="dxa" w:w="3040"/>
            <w:shd w:fill="1F3864" w:val="clear"/>
          </w:tcPr>
          <w:p>
            <w:r>
              <w:rPr>
                <w:b/>
                <w:bCs/>
                <w:color w:val="FFFFFF"/>
                <w:sz w:val="20"/>
                <w:szCs w:val="20"/>
              </w:rPr>
              <w:t xml:space="preserve">Heimdall Production</w:t>
            </w:r>
          </w:p>
        </w:tc>
      </w:tr>
      <w:tr>
        <w:tc>
          <w:tcPr>
            <w:tcW w:type="dxa" w:w="2200"/>
            <w:shd w:fill="FFFFFF" w:val="clear"/>
          </w:tcPr>
          <w:p>
            <w:r>
              <w:rPr>
                <w:sz w:val="20"/>
                <w:szCs w:val="20"/>
              </w:rPr>
              <w:t xml:space="preserve">Backbone</w:t>
            </w:r>
          </w:p>
        </w:tc>
        <w:tc>
          <w:tcPr>
            <w:tcW w:type="dxa" w:w="4120"/>
            <w:shd w:fill="FFFFFF" w:val="clear"/>
          </w:tcPr>
          <w:p>
            <w:r>
              <w:rPr>
                <w:sz w:val="20"/>
                <w:szCs w:val="20"/>
              </w:rPr>
              <w:t xml:space="preserve">DA2 Base (~98M params, relative only)</w:t>
            </w:r>
          </w:p>
        </w:tc>
        <w:tc>
          <w:tcPr>
            <w:tcW w:type="dxa" w:w="3040"/>
            <w:shd w:fill="FFFFFF" w:val="clear"/>
          </w:tcPr>
          <w:p>
            <w:r>
              <w:rPr>
                <w:sz w:val="20"/>
                <w:szCs w:val="20"/>
              </w:rPr>
              <w:t xml:space="preserve">DA3 Metric-Large (~335M params)</w:t>
            </w:r>
          </w:p>
        </w:tc>
      </w:tr>
      <w:tr>
        <w:tc>
          <w:tcPr>
            <w:tcW w:type="dxa" w:w="2200"/>
            <w:shd w:fill="F2F5FA" w:val="clear"/>
          </w:tcPr>
          <w:p>
            <w:r>
              <w:rPr>
                <w:sz w:val="20"/>
                <w:szCs w:val="20"/>
              </w:rPr>
              <w:t xml:space="preserve">Adaptation head</w:t>
            </w:r>
          </w:p>
        </w:tc>
        <w:tc>
          <w:tcPr>
            <w:tcW w:type="dxa" w:w="4120"/>
            <w:shd w:fill="F2F5FA" w:val="clear"/>
          </w:tcPr>
          <w:p>
            <w:r>
              <w:rPr>
                <w:sz w:val="20"/>
                <w:szCs w:val="20"/>
              </w:rPr>
              <w:t xml:space="preserve">Simple 3-layer CNN, additive (depth+delta)</w:t>
            </w:r>
          </w:p>
        </w:tc>
        <w:tc>
          <w:tcPr>
            <w:tcW w:type="dxa" w:w="3040"/>
            <w:shd w:fill="F2F5FA" w:val="clear"/>
          </w:tcPr>
          <w:p>
            <w:r>
              <w:rPr>
                <w:sz w:val="20"/>
                <w:szCs w:val="20"/>
              </w:rPr>
              <w:t xml:space="preserve">ASPP, predicts pixel-wise scale+shift</w:t>
            </w:r>
          </w:p>
        </w:tc>
      </w:tr>
      <w:tr>
        <w:tc>
          <w:tcPr>
            <w:tcW w:type="dxa" w:w="2200"/>
            <w:shd w:fill="FFFFFF" w:val="clear"/>
          </w:tcPr>
          <w:p>
            <w:r>
              <w:rPr>
                <w:sz w:val="20"/>
                <w:szCs w:val="20"/>
              </w:rPr>
              <w:t xml:space="preserve">Transformation</w:t>
            </w:r>
          </w:p>
        </w:tc>
        <w:tc>
          <w:tcPr>
            <w:tcW w:type="dxa" w:w="4120"/>
            <w:shd w:fill="FFFFFF" w:val="clear"/>
          </w:tcPr>
          <w:p>
            <w:r>
              <w:rPr>
                <w:sz w:val="20"/>
                <w:szCs w:val="20"/>
              </w:rPr>
              <w:t xml:space="preserve">Heuristic addition</w:t>
            </w:r>
          </w:p>
        </w:tc>
        <w:tc>
          <w:tcPr>
            <w:tcW w:type="dxa" w:w="3040"/>
            <w:shd w:fill="FFFFFF" w:val="clear"/>
          </w:tcPr>
          <w:p>
            <w:r>
              <w:rPr>
                <w:sz w:val="20"/>
                <w:szCs w:val="20"/>
              </w:rPr>
              <w:t xml:space="preserve">Affine: S(x)*Depth(x)+T(x), with ReLU</w:t>
            </w:r>
          </w:p>
        </w:tc>
      </w:tr>
      <w:tr>
        <w:tc>
          <w:tcPr>
            <w:tcW w:type="dxa" w:w="2200"/>
            <w:shd w:fill="F2F5FA" w:val="clear"/>
          </w:tcPr>
          <w:p>
            <w:r>
              <w:rPr>
                <w:sz w:val="20"/>
                <w:szCs w:val="20"/>
              </w:rPr>
              <w:t xml:space="preserve">Loss</w:t>
            </w:r>
          </w:p>
        </w:tc>
        <w:tc>
          <w:tcPr>
            <w:tcW w:type="dxa" w:w="4120"/>
            <w:shd w:fill="F2F5FA" w:val="clear"/>
          </w:tcPr>
          <w:p>
            <w:r>
              <w:rPr>
                <w:sz w:val="20"/>
                <w:szCs w:val="20"/>
              </w:rPr>
              <w:t xml:space="preserve">Plain L1</w:t>
            </w:r>
          </w:p>
        </w:tc>
        <w:tc>
          <w:tcPr>
            <w:tcW w:type="dxa" w:w="3040"/>
            <w:shd w:fill="F2F5FA" w:val="clear"/>
          </w:tcPr>
          <w:p>
            <w:r>
              <w:rPr>
                <w:sz w:val="20"/>
                <w:szCs w:val="20"/>
              </w:rPr>
              <w:t xml:space="preserve">SILog + Gradient Matching + L1</w:t>
            </w:r>
          </w:p>
        </w:tc>
      </w:tr>
      <w:tr>
        <w:tc>
          <w:tcPr>
            <w:tcW w:type="dxa" w:w="2200"/>
            <w:shd w:fill="FFFFFF" w:val="clear"/>
          </w:tcPr>
          <w:p>
            <w:r>
              <w:rPr>
                <w:sz w:val="20"/>
                <w:szCs w:val="20"/>
              </w:rPr>
              <w:t xml:space="preserve">Numerical stability</w:t>
            </w:r>
          </w:p>
        </w:tc>
        <w:tc>
          <w:tcPr>
            <w:tcW w:type="dxa" w:w="4120"/>
            <w:shd w:fill="FFFFFF" w:val="clear"/>
          </w:tcPr>
          <w:p>
            <w:r>
              <w:rPr>
                <w:sz w:val="20"/>
                <w:szCs w:val="20"/>
              </w:rPr>
              <w:t xml:space="preserve">Naive log(x), explodes at 0m</w:t>
            </w:r>
          </w:p>
        </w:tc>
        <w:tc>
          <w:tcPr>
            <w:tcW w:type="dxa" w:w="3040"/>
            <w:shd w:fill="FFFFFF" w:val="clear"/>
          </w:tcPr>
          <w:p>
            <w:r>
              <w:rPr>
                <w:sz w:val="20"/>
                <w:szCs w:val="20"/>
              </w:rPr>
              <w:t xml:space="preserve">log1p(x) with variance clamp</w:t>
            </w:r>
          </w:p>
        </w:tc>
      </w:tr>
      <w:tr>
        <w:tc>
          <w:tcPr>
            <w:tcW w:type="dxa" w:w="2200"/>
            <w:shd w:fill="F2F5FA" w:val="clear"/>
          </w:tcPr>
          <w:p>
            <w:r>
              <w:rPr>
                <w:sz w:val="20"/>
                <w:szCs w:val="20"/>
              </w:rPr>
              <w:t xml:space="preserve">Dataset</w:t>
            </w:r>
          </w:p>
        </w:tc>
        <w:tc>
          <w:tcPr>
            <w:tcW w:type="dxa" w:w="4120"/>
            <w:shd w:fill="F2F5FA" w:val="clear"/>
          </w:tcPr>
          <w:p>
            <w:r>
              <w:rPr>
                <w:sz w:val="20"/>
                <w:szCs w:val="20"/>
              </w:rPr>
              <w:t xml:space="preserve">Synthetic/noisy</w:t>
            </w:r>
          </w:p>
        </w:tc>
        <w:tc>
          <w:tcPr>
            <w:tcW w:type="dxa" w:w="3040"/>
            <w:shd w:fill="F2F5FA" w:val="clear"/>
          </w:tcPr>
          <w:p>
            <w:r>
              <w:rPr>
                <w:sz w:val="20"/>
                <w:szCs w:val="20"/>
              </w:rPr>
              <w:t xml:space="preserve">Real GAMUS LiDAR-verified tiles</w:t>
            </w:r>
          </w:p>
        </w:tc>
      </w:tr>
      <w:tr>
        <w:tc>
          <w:tcPr>
            <w:tcW w:type="dxa" w:w="2200"/>
            <w:shd w:fill="FFFFFF" w:val="clear"/>
          </w:tcPr>
          <w:p>
            <w:r>
              <w:rPr>
                <w:sz w:val="20"/>
                <w:szCs w:val="20"/>
              </w:rPr>
              <w:t xml:space="preserve">Training engine</w:t>
            </w:r>
          </w:p>
        </w:tc>
        <w:tc>
          <w:tcPr>
            <w:tcW w:type="dxa" w:w="4120"/>
            <w:shd w:fill="FFFFFF" w:val="clear"/>
          </w:tcPr>
          <w:p>
            <w:r>
              <w:rPr>
                <w:sz w:val="20"/>
                <w:szCs w:val="20"/>
              </w:rPr>
              <w:t xml:space="preserve">FP32, single step</w:t>
            </w:r>
          </w:p>
        </w:tc>
        <w:tc>
          <w:tcPr>
            <w:tcW w:type="dxa" w:w="3040"/>
            <w:shd w:fill="FFFFFF" w:val="clear"/>
          </w:tcPr>
          <w:p>
            <w:r>
              <w:rPr>
                <w:sz w:val="20"/>
                <w:szCs w:val="20"/>
              </w:rPr>
              <w:t xml:space="preserve">AMP + gradient accumulation + cosine LR</w:t>
            </w:r>
          </w:p>
        </w:tc>
      </w:tr>
      <w:tr>
        <w:tc>
          <w:tcPr>
            <w:tcW w:type="dxa" w:w="2200"/>
            <w:shd w:fill="F2F5FA" w:val="clear"/>
          </w:tcPr>
          <w:p>
            <w:r>
              <w:rPr>
                <w:sz w:val="20"/>
                <w:szCs w:val="20"/>
              </w:rPr>
              <w:t xml:space="preserve">Visualization</w:t>
            </w:r>
          </w:p>
        </w:tc>
        <w:tc>
          <w:tcPr>
            <w:tcW w:type="dxa" w:w="4120"/>
            <w:shd w:fill="F2F5FA" w:val="clear"/>
          </w:tcPr>
          <w:p>
            <w:r>
              <w:rPr>
                <w:sz w:val="20"/>
                <w:szCs w:val="20"/>
              </w:rPr>
              <w:t xml:space="preserve">Static screenshots</w:t>
            </w:r>
          </w:p>
        </w:tc>
        <w:tc>
          <w:tcPr>
            <w:tcW w:type="dxa" w:w="3040"/>
            <w:shd w:fill="F2F5FA" w:val="clear"/>
          </w:tcPr>
          <w:p>
            <w:r>
              <w:rPr>
                <w:sz w:val="20"/>
                <w:szCs w:val="20"/>
              </w:rPr>
              <w:t xml:space="preserve">Full interactive 3D WebGIS</w:t>
            </w:r>
          </w:p>
        </w:tc>
      </w:tr>
    </w:tbl>
    <w:p>
      <w:r>
        <w:br w:type="page"/>
      </w:r>
    </w:p>
    <w:p>
      <w:pPr>
        <w:pStyle w:val="Heading1"/>
        <w:spacing w:after="200" w:before="400"/>
      </w:pPr>
      <w:r>
        <w:t xml:space="preserve">8. The Web Application (heimdall-web)</w:t>
      </w:r>
    </w:p>
    <w:p>
      <w:pPr>
        <w:spacing w:after="160"/>
      </w:pPr>
      <w:r>
        <w:t xml:space="preserve">Built with Next.js 14, React Three Fiber, and Three.js.</w:t>
      </w:r>
    </w:p>
    <w:p>
      <w:pPr>
        <w:spacing w:after="160"/>
      </w:pPr>
      <w:r>
        <w:rPr>
          <w:b/>
          <w:bCs/>
        </w:rPr>
        <w:t xml:space="preserve">Key features:</w:t>
      </w:r>
    </w:p>
    <w:p>
      <w:pPr>
        <w:pStyle w:val="ListParagraph"/>
        <w:numPr>
          <w:ilvl w:val="0"/>
          <w:numId w:val="2"/>
        </w:numPr>
        <w:spacing w:after="80"/>
      </w:pPr>
      <w:r>
        <w:t xml:space="preserve">Flythrough/orbit camera with dynamic sun-shadow rendering</w:t>
      </w:r>
    </w:p>
    <w:p>
      <w:pPr>
        <w:pStyle w:val="ListParagraph"/>
        <w:numPr>
          <w:ilvl w:val="0"/>
          <w:numId w:val="2"/>
        </w:numPr>
        <w:spacing w:after="80"/>
      </w:pPr>
      <w:r>
        <w:t xml:space="preserve">Slope hazard heatmap — a live WebGL shader color-codes gentle grades green, moderate yellow, steep/unstable (&gt;30°) red</w:t>
      </w:r>
    </w:p>
    <w:p>
      <w:pPr>
        <w:pStyle w:val="ListParagraph"/>
        <w:numPr>
          <w:ilvl w:val="0"/>
          <w:numId w:val="2"/>
        </w:numPr>
        <w:spacing w:after="80"/>
      </w:pPr>
      <w:r>
        <w:t xml:space="preserve">Dual-point elevation measurement — click two points, get real 3D distance, horizontal run, elevation rise</w:t>
      </w:r>
    </w:p>
    <w:p>
      <w:pPr>
        <w:pStyle w:val="ListParagraph"/>
        <w:numPr>
          <w:ilvl w:val="0"/>
          <w:numId w:val="2"/>
        </w:numPr>
        <w:spacing w:after="80"/>
      </w:pPr>
      <w:r>
        <w:t xml:space="preserve">Cross-section water-level slicing — slider truncates the mesh above a chosen elevation, useful for flood simulation</w:t>
      </w:r>
    </w:p>
    <w:p>
      <w:pPr>
        <w:pStyle w:val="ListParagraph"/>
        <w:spacing w:before="40" w:after="40"/>
      </w:pPr>
      <w:r>
        <w:rPr>
          <w:rFonts w:ascii="Calibri" w:hAnsi="Calibri"/>
          <w:b/>
          <w:sz w:val="22"/>
        </w:rPr>
        <w:t xml:space="preserve">Atmospheric fog falloff tuning — </w:t>
      </w:r>
      <w:r>
        <w:rPr>
          <w:rFonts w:ascii="Calibri" w:hAnsi="Calibri"/>
          <w:sz w:val="22"/>
        </w:rPr>
        <w:t>Replaced abrupt linear camera clipping with a gentle wide-area falloff [1600, 14000] and camera far plane at 25,000, preventing dark edge clipping during wide-angle terrain flythroughs.</w:t>
      </w:r>
    </w:p>
    <w:p>
      <w:pPr>
        <w:pStyle w:val="ListParagraph"/>
        <w:spacing w:before="40" w:after="40"/>
      </w:pPr>
      <w:r>
        <w:rPr>
          <w:rFonts w:ascii="Calibri" w:hAnsi="Calibri"/>
          <w:b/>
          <w:sz w:val="22"/>
        </w:rPr>
        <w:t xml:space="preserve">Browser extension hydration guard — </w:t>
      </w:r>
      <w:r>
        <w:rPr>
          <w:rFonts w:ascii="Calibri" w:hAnsi="Calibri"/>
          <w:sz w:val="22"/>
        </w:rPr>
        <w:t>Implemented a mounted client lifecycle guard to permanently eliminate Next.js React hydration mismatches caused by browser extensions (such as Dark Reader modifying SVG stroke attributes).</w:t>
      </w:r>
    </w:p>
    <w:p>
      <w:pPr>
        <w:pStyle w:val="ListParagraph"/>
        <w:spacing w:before="40" w:after="40"/>
      </w:pPr>
      <w:r>
        <w:rPr>
          <w:rFonts w:ascii="Calibri" w:hAnsi="Calibri"/>
          <w:b/>
          <w:sz w:val="22"/>
        </w:rPr>
        <w:t xml:space="preserve">Dual output delivery — </w:t>
      </w:r>
      <w:r>
        <w:rPr>
          <w:rFonts w:ascii="Calibri" w:hAnsi="Calibri"/>
          <w:sz w:val="22"/>
        </w:rPr>
        <w:t>The interface provides both real-time interactive 3D WebGL mesh exploration and direct one-click downloading of the 32-bit float metric DSM GeoTIFF with preserved geographic coordinates.</w:t>
      </w:r>
    </w:p>
    <w:p>
      <w:pPr>
        <w:pStyle w:val="Heading1"/>
        <w:spacing w:after="200" w:before="400"/>
      </w:pPr>
      <w:r>
        <w:t xml:space="preserve">9.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20"/>
        <w:gridCol w:w="4040"/>
      </w:tblGrid>
      <w:tr>
        <w:trPr>
          <w:tblHeader/>
        </w:trPr>
        <w:tc>
          <w:tcPr>
            <w:tcW w:type="dxa" w:w="2200"/>
            <w:shd w:fill="1F3864" w:val="clear"/>
          </w:tcPr>
          <w:p>
            <w:r>
              <w:rPr>
                <w:b/>
                <w:bCs/>
                <w:color w:val="FFFFFF"/>
                <w:sz w:val="20"/>
                <w:szCs w:val="20"/>
              </w:rPr>
              <w:t xml:space="preserve">File</w:t>
            </w:r>
          </w:p>
        </w:tc>
        <w:tc>
          <w:tcPr>
            <w:tcW w:type="dxa" w:w="3120"/>
            <w:shd w:fill="1F3864" w:val="clear"/>
          </w:tcPr>
          <w:p>
            <w:r>
              <w:rPr>
                <w:b/>
                <w:bCs/>
                <w:color w:val="FFFFFF"/>
                <w:sz w:val="20"/>
                <w:szCs w:val="20"/>
              </w:rPr>
              <w:t xml:space="preserve">Format</w:t>
            </w:r>
          </w:p>
        </w:tc>
        <w:tc>
          <w:tcPr>
            <w:tcW w:type="dxa" w:w="4040"/>
            <w:shd w:fill="1F3864" w:val="clear"/>
          </w:tcPr>
          <w:p>
            <w:r>
              <w:rPr>
                <w:b/>
                <w:bCs/>
                <w:color w:val="FFFFFF"/>
                <w:sz w:val="20"/>
                <w:szCs w:val="20"/>
              </w:rPr>
              <w:t xml:space="preserve">Purpose</w:t>
            </w:r>
          </w:p>
        </w:tc>
      </w:tr>
      <w:tr>
        <w:tc>
          <w:tcPr>
            <w:tcW w:type="dxa" w:w="2200"/>
            <w:shd w:fill="FFFFFF" w:val="clear"/>
          </w:tcPr>
          <w:p>
            <w:r>
              <w:rPr>
                <w:sz w:val="20"/>
                <w:szCs w:val="20"/>
              </w:rPr>
              <w:t xml:space="preserve">_depth16.png</w:t>
            </w:r>
          </w:p>
        </w:tc>
        <w:tc>
          <w:tcPr>
            <w:tcW w:type="dxa" w:w="3120"/>
            <w:shd w:fill="FFFFFF" w:val="clear"/>
          </w:tcPr>
          <w:p>
            <w:r>
              <w:rPr>
                <w:sz w:val="20"/>
                <w:szCs w:val="20"/>
              </w:rPr>
              <w:t xml:space="preserve">16-bit grayscale PNG</w:t>
            </w:r>
          </w:p>
        </w:tc>
        <w:tc>
          <w:tcPr>
            <w:tcW w:type="dxa" w:w="4040"/>
            <w:shd w:fill="FFFFFF" w:val="clear"/>
          </w:tcPr>
          <w:p>
            <w:r>
              <w:rPr>
                <w:sz w:val="20"/>
                <w:szCs w:val="20"/>
              </w:rPr>
              <w:t xml:space="preserve">High-precision elevation storage</w:t>
            </w:r>
          </w:p>
        </w:tc>
      </w:tr>
      <w:tr>
        <w:tc>
          <w:tcPr>
            <w:tcW w:type="dxa" w:w="2200"/>
            <w:shd w:fill="F2F5FA" w:val="clear"/>
          </w:tcPr>
          <w:p>
            <w:r>
              <w:rPr>
                <w:sz w:val="20"/>
                <w:szCs w:val="20"/>
              </w:rPr>
              <w:t xml:space="preserve">_depth_vis.png</w:t>
            </w:r>
          </w:p>
        </w:tc>
        <w:tc>
          <w:tcPr>
            <w:tcW w:type="dxa" w:w="3120"/>
            <w:shd w:fill="F2F5FA" w:val="clear"/>
          </w:tcPr>
          <w:p>
            <w:r>
              <w:rPr>
                <w:sz w:val="20"/>
                <w:szCs w:val="20"/>
              </w:rPr>
              <w:t xml:space="preserve">Inferno colormap PNG</w:t>
            </w:r>
          </w:p>
        </w:tc>
        <w:tc>
          <w:tcPr>
            <w:tcW w:type="dxa" w:w="4040"/>
            <w:shd w:fill="F2F5FA" w:val="clear"/>
          </w:tcPr>
          <w:p>
            <w:r>
              <w:rPr>
                <w:sz w:val="20"/>
                <w:szCs w:val="20"/>
              </w:rPr>
              <w:t xml:space="preserve">Human-readable visual preview</w:t>
            </w:r>
          </w:p>
        </w:tc>
      </w:tr>
      <w:tr>
        <w:tc>
          <w:tcPr>
            <w:tcW w:type="dxa" w:w="2200"/>
            <w:shd w:fill="FFFFFF" w:val="clear"/>
          </w:tcPr>
          <w:p>
            <w:r>
              <w:rPr>
                <w:sz w:val="20"/>
                <w:szCs w:val="20"/>
              </w:rPr>
              <w:t xml:space="preserve">_dem.tif</w:t>
            </w:r>
          </w:p>
        </w:tc>
        <w:tc>
          <w:tcPr>
            <w:tcW w:type="dxa" w:w="3120"/>
            <w:shd w:fill="FFFFFF" w:val="clear"/>
          </w:tcPr>
          <w:p>
            <w:r>
              <w:rPr>
                <w:sz w:val="20"/>
                <w:szCs w:val="20"/>
              </w:rPr>
              <w:t xml:space="preserve">32-bit float GeoTIFF</w:t>
            </w:r>
          </w:p>
        </w:tc>
        <w:tc>
          <w:tcPr>
            <w:tcW w:type="dxa" w:w="4040"/>
            <w:shd w:fill="FFFFFF" w:val="clear"/>
          </w:tcPr>
          <w:p>
            <w:r>
              <w:rPr>
                <w:sz w:val="20"/>
                <w:szCs w:val="20"/>
              </w:rPr>
              <w:t xml:space="preserve">Direct import into ArcGIS/QGIS, preserves CRS</w:t>
            </w:r>
          </w:p>
        </w:tc>
      </w:tr>
      <w:tr>
        <w:tc>
          <w:tcPr>
            <w:tcW w:type="dxa" w:w="2200"/>
            <w:shd w:fill="F2F5FA" w:val="clear"/>
          </w:tcPr>
          <w:p>
            <w:r>
              <w:rPr>
                <w:sz w:val="20"/>
                <w:szCs w:val="20"/>
              </w:rPr>
              <w:t xml:space="preserve">_depth.npy</w:t>
            </w:r>
          </w:p>
        </w:tc>
        <w:tc>
          <w:tcPr>
            <w:tcW w:type="dxa" w:w="3120"/>
            <w:shd w:fill="F2F5FA" w:val="clear"/>
          </w:tcPr>
          <w:p>
            <w:r>
              <w:rPr>
                <w:sz w:val="20"/>
                <w:szCs w:val="20"/>
              </w:rPr>
              <w:t xml:space="preserve">Float32 NumPy array</w:t>
            </w:r>
          </w:p>
        </w:tc>
        <w:tc>
          <w:tcPr>
            <w:tcW w:type="dxa" w:w="4040"/>
            <w:shd w:fill="F2F5FA" w:val="clear"/>
          </w:tcPr>
          <w:p>
            <w:r>
              <w:rPr>
                <w:sz w:val="20"/>
                <w:szCs w:val="20"/>
              </w:rPr>
              <w:t xml:space="preserve">Scientific computing / further processing</w:t>
            </w:r>
          </w:p>
        </w:tc>
      </w:tr>
      <w:tr>
        <w:tc>
          <w:tcPr>
            <w:tcW w:type="dxa" w:w="2200"/>
            <w:shd w:fill="FFFFFF" w:val="clear"/>
          </w:tcPr>
          <w:p>
            <w:r>
              <w:rPr>
                <w:sz w:val="20"/>
                <w:szCs w:val="20"/>
              </w:rPr>
              <w:t xml:space="preserve">.ply / .obj</w:t>
            </w:r>
          </w:p>
        </w:tc>
        <w:tc>
          <w:tcPr>
            <w:tcW w:type="dxa" w:w="3120"/>
            <w:shd w:fill="FFFFFF" w:val="clear"/>
          </w:tcPr>
          <w:p>
            <w:r>
              <w:rPr>
                <w:sz w:val="20"/>
                <w:szCs w:val="20"/>
              </w:rPr>
              <w:t xml:space="preserve">Textured 3D mesh</w:t>
            </w:r>
          </w:p>
        </w:tc>
        <w:tc>
          <w:tcPr>
            <w:tcW w:type="dxa" w:w="4040"/>
            <w:shd w:fill="FFFFFF" w:val="clear"/>
          </w:tcPr>
          <w:p>
            <w:r>
              <w:rPr>
                <w:sz w:val="20"/>
                <w:szCs w:val="20"/>
              </w:rPr>
              <w:t xml:space="preserve">CAD, 3D printing, game engines</w:t>
            </w:r>
          </w:p>
        </w:tc>
      </w:tr>
      <w:tr>
        <w:tc>
          <w:tcPr>
            <w:tcW w:type="dxa" w:w="2200"/>
            <w:shd w:fill="FFFFFF"/>
            <w:tcMar>
              <w:top w:w="80" w:type="dxa"/>
              <w:bottom w:w="80" w:type="dxa"/>
              <w:left w:w="100" w:type="dxa"/>
              <w:right w:w="100" w:type="dxa"/>
            </w:tcMar>
          </w:tcPr>
          <w:p>
            <w:pPr>
              <w:spacing w:before="40" w:after="40"/>
            </w:pPr>
            <w:r>
              <w:rPr>
                <w:rFonts w:ascii="Calibri" w:hAnsi="Calibri"/>
                <w:b/>
                <w:sz w:val="20"/>
              </w:rPr>
              <w:t>_mesh.glb</w:t>
            </w:r>
          </w:p>
        </w:tc>
        <w:tc>
          <w:tcPr>
            <w:tcW w:type="dxa" w:w="3120"/>
            <w:shd w:fill="FFFFFF"/>
            <w:tcMar>
              <w:top w:w="80" w:type="dxa"/>
              <w:bottom w:w="80" w:type="dxa"/>
              <w:left w:w="100" w:type="dxa"/>
              <w:right w:w="100" w:type="dxa"/>
            </w:tcMar>
          </w:tcPr>
          <w:p>
            <w:pPr>
              <w:spacing w:before="40" w:after="40"/>
            </w:pPr>
            <w:r>
              <w:rPr>
                <w:rFonts w:ascii="Calibri" w:hAnsi="Calibri"/>
                <w:sz w:val="20"/>
              </w:rPr>
              <w:t>Binary glTF (glTF 2.0)</w:t>
            </w:r>
          </w:p>
        </w:tc>
        <w:tc>
          <w:tcPr>
            <w:tcW w:type="dxa" w:w="4040"/>
            <w:shd w:fill="FFFFFF"/>
            <w:tcMar>
              <w:top w:w="80" w:type="dxa"/>
              <w:bottom w:w="80" w:type="dxa"/>
              <w:left w:w="100" w:type="dxa"/>
              <w:right w:w="100" w:type="dxa"/>
            </w:tcMar>
          </w:tcPr>
          <w:p>
            <w:pPr>
              <w:spacing w:before="40" w:after="40"/>
            </w:pPr>
            <w:r>
              <w:rPr>
                <w:rFonts w:ascii="Calibri" w:hAnsi="Calibri"/>
                <w:sz w:val="20"/>
              </w:rPr>
              <w:t>Primary 3D WebGIS format with embedded geometry, vertex colors, UV maps, and Draco compression</w:t>
            </w:r>
          </w:p>
        </w:tc>
      </w:tr>
    </w:tbl>
    <w:p>
      <w:pPr>
        <w:pStyle w:val="Heading1"/>
        <w:spacing w:after="200" w:before="400"/>
      </w:pPr>
      <w:r>
        <w:t xml:space="preserve">10. Suggested Presentation Structure (5–7 slides)</w:t>
      </w:r>
    </w:p>
    <w:p>
      <w:pPr>
        <w:pStyle w:val="ListParagraph"/>
        <w:numPr>
          <w:ilvl w:val="0"/>
          <w:numId w:val="2"/>
        </w:numPr>
        <w:spacing w:after="80"/>
      </w:pPr>
      <w:r>
        <w:t xml:space="preserve">1. The Problem — 3D terrain today needs expensive multi-view imaging or LiDAR flights; neither works in an emergency or denied region.</w:t>
      </w:r>
    </w:p>
    <w:p>
      <w:pPr>
        <w:pStyle w:val="ListParagraph"/>
        <w:numPr>
          <w:ilvl w:val="0"/>
          <w:numId w:val="2"/>
        </w:numPr>
        <w:spacing w:after="80"/>
      </w:pPr>
      <w:r>
        <w:t xml:space="preserve">2. The Idea — What if one photo was enough? Introduce Heimdall.</w:t>
      </w:r>
    </w:p>
    <w:p>
      <w:pPr>
        <w:pStyle w:val="ListParagraph"/>
        <w:numPr>
          <w:ilvl w:val="0"/>
          <w:numId w:val="2"/>
        </w:numPr>
        <w:spacing w:after="80"/>
      </w:pPr>
      <w:r>
        <w:t xml:space="preserve">3. Architecture Overview — Use the pipeline diagram (Section 2): frozen backbone → trainable head → affine output → 3D mesh.</w:t>
      </w:r>
    </w:p>
    <w:p>
      <w:pPr>
        <w:pStyle w:val="ListParagraph"/>
        <w:numPr>
          <w:ilvl w:val="0"/>
          <w:numId w:val="2"/>
        </w:numPr>
        <w:spacing w:after="80"/>
      </w:pPr>
      <w:r>
        <w:t xml:space="preserve">4. Under the Hood (optional, for technical audiences) — DA3's DINOv2+RoPE+DualDPT, and ASPP's multi-dilation-rate design. Keep this slide light; save depth for Q&amp;A.</w:t>
      </w:r>
    </w:p>
    <w:p>
      <w:pPr>
        <w:pStyle w:val="ListParagraph"/>
        <w:numPr>
          <w:ilvl w:val="0"/>
          <w:numId w:val="2"/>
        </w:numPr>
        <w:spacing w:after="80"/>
      </w:pPr>
      <w:r>
        <w:t xml:space="preserve">5. The Math That Makes It Work — SILog + Gradient Matching + L1, and the log1p numerical stability fix. This slide demonstrates engineering rigor to evaluators.</w:t>
      </w:r>
    </w:p>
    <w:p>
      <w:pPr>
        <w:pStyle w:val="ListParagraph"/>
        <w:numPr>
          <w:ilvl w:val="0"/>
          <w:numId w:val="2"/>
        </w:numPr>
        <w:spacing w:after="80"/>
      </w:pPr>
      <w:r>
        <w:t xml:space="preserve">6. Results — The benchmark table; lead with the 2.18m RMSE headline number and the loss convergence curve.</w:t>
      </w:r>
    </w:p>
    <w:p>
      <w:pPr>
        <w:pStyle w:val="ListParagraph"/>
        <w:numPr>
          <w:ilvl w:val="0"/>
          <w:numId w:val="2"/>
        </w:numPr>
        <w:spacing w:after="80"/>
      </w:pPr>
      <w:r>
        <w:t xml:space="preserve">7. Live Demo / Impact — Screenshot or live demo of the WebGIS viewer; close with cost/speed impact (no stereo pass needed, ~1-2 sec inference).</w:t>
      </w:r>
    </w:p>
    <w:p>
      <w:pPr>
        <w:pStyle w:val="Heading1"/>
        <w:spacing w:after="200" w:before="400"/>
      </w:pPr>
      <w:r>
        <w:t xml:space="preserve">11. Key Numbers to Have Ready for Q&amp;A</w:t>
      </w:r>
    </w:p>
    <w:p>
      <w:pPr>
        <w:pStyle w:val="ListParagraph"/>
        <w:numPr>
          <w:ilvl w:val="0"/>
          <w:numId w:val="2"/>
        </w:numPr>
        <w:spacing w:after="80"/>
      </w:pPr>
      <w:r>
        <w:t xml:space="preserve">2.18m average height error (vs. 8.42m naive baseline) — headline stat</w:t>
      </w:r>
    </w:p>
    <w:p>
      <w:pPr>
        <w:pStyle w:val="ListParagraph"/>
        <w:numPr>
          <w:ilvl w:val="0"/>
          <w:numId w:val="2"/>
        </w:numPr>
        <w:spacing w:after="80"/>
      </w:pPr>
      <w:r>
        <w:t xml:space="preserve">335M parameters in the frozen DA3 backbone, pretrained on 60M+ images</w:t>
      </w:r>
    </w:p>
    <w:p>
      <w:pPr>
        <w:pStyle w:val="ListParagraph"/>
        <w:numPr>
          <w:ilvl w:val="0"/>
          <w:numId w:val="2"/>
        </w:numPr>
        <w:spacing w:after="80"/>
      </w:pPr>
      <w:r>
        <w:t xml:space="preserve">524 real aerial tiles used for training (GAMUS)</w:t>
      </w:r>
    </w:p>
    <w:p>
      <w:pPr>
        <w:pStyle w:val="ListParagraph"/>
        <w:numPr>
          <w:ilvl w:val="0"/>
          <w:numId w:val="2"/>
        </w:numPr>
        <w:spacing w:after="80"/>
      </w:pPr>
      <w:r>
        <w:t xml:space="preserve">~1.1–1.8 seconds inference time per 1024×1024 tile on a T4/RTX 4090</w:t>
      </w:r>
    </w:p>
    <w:p>
      <w:pPr>
        <w:pStyle w:val="ListParagraph"/>
        <w:numPr>
          <w:ilvl w:val="0"/>
          <w:numId w:val="2"/>
        </w:numPr>
        <w:spacing w:after="80"/>
      </w:pPr>
      <w:r>
        <w:t xml:space="preserve">4 dilation rates (1, 6, 12, 18) in the ASPP head</w:t>
      </w:r>
    </w:p>
    <w:p>
      <w:pPr>
        <w:pStyle w:val="ListParagraph"/>
        <w:numPr>
          <w:ilvl w:val="0"/>
          <w:numId w:val="2"/>
        </w:numPr>
        <w:spacing w:after="40" w:before="40"/>
      </w:pPr>
      <w:r/>
      <w:r>
        <w:rPr>
          <w:rFonts w:ascii="Calibri" w:hAnsi="Calibri"/>
          <w:sz w:val="22"/>
        </w:rPr>
        <w:t>78 continuous epochs completed across a 12-hour GPU run (best loss 12.80 achieved at Epoch 77)</w:t>
      </w:r>
    </w:p>
    <w:p>
      <w:pPr>
        <w:pStyle w:val="ListParagraph"/>
        <w:spacing w:before="40" w:after="40"/>
      </w:pPr>
      <w:r>
        <w:rPr>
          <w:rFonts w:ascii="Calibri" w:hAnsi="Calibri"/>
          <w:sz w:val="22"/>
        </w:rPr>
        <w:t>5.49 MB stripped production checkpoint size (decoder_best_all.pth) vs. 16.43 MB full optimizer checkpoint</w:t>
      </w:r>
    </w:p>
    <w:p>
      <w:pPr>
        <w:pStyle w:val="ListParagraph"/>
        <w:spacing w:before="40" w:after="40"/>
      </w:pPr>
      <w:r>
        <w:rPr>
          <w:rFonts w:ascii="Calibri" w:hAnsi="Calibri"/>
          <w:sz w:val="22"/>
        </w:rPr>
        <w:t>0.00m to 19.91m vertical elevation range validated on real 8K UTM Zone 45N satellite imagery</w:t>
      </w:r>
    </w:p>
    <w:p>
      <w:pPr>
        <w:pStyle w:val="ListParagraph"/>
        <w:spacing w:before="40" w:after="40"/>
      </w:pPr>
      <w:r>
        <w:rPr>
          <w:rFonts w:ascii="Calibri" w:hAnsi="Calibri"/>
          <w:sz w:val="22"/>
        </w:rPr>
        <w:t>246,018 vertices in generated real-time WebGL terrain mesh</w:t>
      </w:r>
    </w:p>
    <w:p>
      <w:pPr>
        <w:pStyle w:val="ListParagraph"/>
        <w:spacing w:before="40" w:after="40"/>
      </w:pPr>
      <w:r>
        <w:rPr>
          <w:rFonts w:ascii="Calibri" w:hAnsi="Calibri"/>
          <w:sz w:val="22"/>
        </w:rPr>
        <w:t>512×512 sliding window with 2D Hann cosine-tapered seam blending for gigapixel orthomosaics</w:t>
      </w:r>
    </w:p>
    <w:p>
      <w:pPr>
        <w:pStyle w:val="Heading1"/>
        <w:spacing w:after="200" w:before="400"/>
      </w:pPr>
      <w:r>
        <w:t xml:space="preserve">12. Anticipated Reviewer Questions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6800"/>
      </w:tblGrid>
      <w:tr>
        <w:trPr>
          <w:tblHeader/>
        </w:trPr>
        <w:tc>
          <w:tcPr>
            <w:tcW w:type="dxa" w:w="3600"/>
            <w:shd w:fill="1F3864" w:val="clear"/>
          </w:tcPr>
          <w:p>
            <w:r>
              <w:rPr>
                <w:b/>
                <w:bCs/>
                <w:color w:val="FFFFFF"/>
                <w:sz w:val="20"/>
                <w:szCs w:val="20"/>
              </w:rPr>
              <w:t xml:space="preserve">Question</w:t>
            </w:r>
          </w:p>
        </w:tc>
        <w:tc>
          <w:tcPr>
            <w:tcW w:type="dxa" w:w="6800"/>
            <w:shd w:fill="1F3864" w:val="clear"/>
          </w:tcPr>
          <w:p>
            <w:r>
              <w:rPr>
                <w:b/>
                <w:bCs/>
                <w:color w:val="FFFFFF"/>
                <w:sz w:val="20"/>
                <w:szCs w:val="20"/>
              </w:rPr>
              <w:t xml:space="preserve">One-line answer</w:t>
            </w:r>
          </w:p>
        </w:tc>
      </w:tr>
      <w:tr>
        <w:tc>
          <w:tcPr>
            <w:tcW w:type="dxa" w:w="3600"/>
            <w:shd w:fill="FFFFFF" w:val="clear"/>
          </w:tcPr>
          <w:p>
            <w:r>
              <w:rPr>
                <w:sz w:val="20"/>
                <w:szCs w:val="20"/>
              </w:rPr>
              <w:t xml:space="preserve">Why freeze DA3 instead of fine-tuning?</w:t>
            </w:r>
          </w:p>
        </w:tc>
        <w:tc>
          <w:tcPr>
            <w:tcW w:type="dxa" w:w="6800"/>
            <w:shd w:fill="FFFFFF" w:val="clear"/>
          </w:tcPr>
          <w:p>
            <w:r>
              <w:rPr>
                <w:sz w:val="20"/>
                <w:szCs w:val="20"/>
              </w:rPr>
              <w:t xml:space="preserve">Avoids catastrophic forgetting on a dataset of only 524 tiles; all learning capacity goes into a small task-specific head instead.</w:t>
            </w:r>
          </w:p>
        </w:tc>
      </w:tr>
      <w:tr>
        <w:tc>
          <w:tcPr>
            <w:tcW w:type="dxa" w:w="3600"/>
            <w:shd w:fill="F2F5FA" w:val="clear"/>
          </w:tcPr>
          <w:p>
            <w:r>
              <w:rPr>
                <w:sz w:val="20"/>
                <w:szCs w:val="20"/>
              </w:rPr>
              <w:t xml:space="preserve">Why scale/shift fields instead of direct height regression?</w:t>
            </w:r>
          </w:p>
        </w:tc>
        <w:tc>
          <w:tcPr>
            <w:tcW w:type="dxa" w:w="6800"/>
            <w:shd w:fill="F2F5FA" w:val="clear"/>
          </w:tcPr>
          <w:p>
            <w:r>
              <w:rPr>
                <w:sz w:val="20"/>
                <w:szCs w:val="20"/>
              </w:rPr>
              <w:t xml:space="preserve">Direct regression fails to generalize across different absolute elevations (coastal vs. plateau); an affine field is the correct geometric model for projective depth.</w:t>
            </w:r>
          </w:p>
        </w:tc>
      </w:tr>
      <w:tr>
        <w:tc>
          <w:tcPr>
            <w:tcW w:type="dxa" w:w="3600"/>
            <w:shd w:fill="FFFFFF" w:val="clear"/>
          </w:tcPr>
          <w:p>
            <w:r>
              <w:rPr>
                <w:sz w:val="20"/>
                <w:szCs w:val="20"/>
              </w:rPr>
              <w:t xml:space="preserve">What about water/featureless terrain?</w:t>
            </w:r>
          </w:p>
        </w:tc>
        <w:tc>
          <w:tcPr>
            <w:tcW w:type="dxa" w:w="6800"/>
            <w:shd w:fill="FFFFFF" w:val="clear"/>
          </w:tcPr>
          <w:p>
            <w:r>
              <w:rPr>
                <w:sz w:val="20"/>
                <w:szCs w:val="20"/>
              </w:rPr>
              <w:t xml:space="preserve">Heimdall uses monocular scene semantics (global context), not keypoint matching, so it doesn't produce voids where stereo methods fail.</w:t>
            </w:r>
          </w:p>
        </w:tc>
      </w:tr>
      <w:tr>
        <w:tc>
          <w:tcPr>
            <w:tcW w:type="dxa" w:w="3600"/>
            <w:shd w:fill="F2F5FA" w:val="clear"/>
          </w:tcPr>
          <w:p>
            <w:r>
              <w:rPr>
                <w:sz w:val="20"/>
                <w:szCs w:val="20"/>
              </w:rPr>
              <w:t xml:space="preserve">Why SILog over MSE/MAE?</w:t>
            </w:r>
          </w:p>
        </w:tc>
        <w:tc>
          <w:tcPr>
            <w:tcW w:type="dxa" w:w="6800"/>
            <w:shd w:fill="F2F5FA" w:val="clear"/>
          </w:tcPr>
          <w:p>
            <w:r>
              <w:rPr>
                <w:sz w:val="20"/>
                <w:szCs w:val="20"/>
              </w:rPr>
              <w:t xml:space="preserve">SILog works in log-ratio space, weighting a small ditch's error as seriously as a large hill's — MSE would ignore the ditch.</w:t>
            </w:r>
          </w:p>
        </w:tc>
      </w:tr>
      <w:tr>
        <w:tc>
          <w:tcPr>
            <w:tcW w:type="dxa" w:w="3600"/>
            <w:shd w:fill="FFFFFF" w:val="clear"/>
          </w:tcPr>
          <w:p>
            <w:r>
              <w:rPr>
                <w:sz w:val="20"/>
                <w:szCs w:val="20"/>
              </w:rPr>
              <w:t xml:space="preserve">How did you fix the 0m-ground NaN issue?</w:t>
            </w:r>
          </w:p>
        </w:tc>
        <w:tc>
          <w:tcPr>
            <w:tcW w:type="dxa" w:w="6800"/>
            <w:shd w:fill="FFFFFF" w:val="clear"/>
          </w:tcPr>
          <w:p>
            <w:r>
              <w:rPr>
                <w:sz w:val="20"/>
                <w:szCs w:val="20"/>
              </w:rPr>
              <w:t xml:space="preserve">Replaced log(x) with log1p(x), plus a 1e-8 variance clamp before the square root.</w:t>
            </w:r>
          </w:p>
        </w:tc>
      </w:tr>
      <w:tr>
        <w:tc>
          <w:tcPr>
            <w:tcW w:type="dxa" w:w="3600"/>
            <w:shd w:fill="F2F5FA" w:val="clear"/>
          </w:tcPr>
          <w:p>
            <w:r>
              <w:rPr>
                <w:sz w:val="20"/>
                <w:szCs w:val="20"/>
              </w:rPr>
              <w:t xml:space="preserve">Can this run on edge devices?</w:t>
            </w:r>
          </w:p>
        </w:tc>
        <w:tc>
          <w:tcPr>
            <w:tcW w:type="dxa" w:w="6800"/>
            <w:shd w:fill="F2F5FA" w:val="clear"/>
          </w:tcPr>
          <w:p>
            <w:r>
              <w:rPr>
                <w:sz w:val="20"/>
                <w:szCs w:val="20"/>
              </w:rPr>
              <w:t xml:space="preserve">Yes — the trainable head is lightweight; TensorRT FP16 quantization makes it viable on hardware like NVIDIA Jetson AGX Orin.</w:t>
            </w:r>
          </w:p>
        </w:tc>
      </w:tr>
      <w:tr>
        <w:tc>
          <w:tcPr>
            <w:tcW w:type="dxa" w:w="3600"/>
            <w:shd w:fill="FFFFFF" w:val="clear"/>
          </w:tcPr>
          <w:p>
            <w:r>
              <w:rPr>
                <w:sz w:val="20"/>
                <w:szCs w:val="20"/>
              </w:rPr>
              <w:t xml:space="preserve">Is DA3's confidence output used?</w:t>
            </w:r>
          </w:p>
        </w:tc>
        <w:tc>
          <w:tcPr>
            <w:tcW w:type="dxa" w:w="6800"/>
            <w:shd w:fill="FFFFFF" w:val="clear"/>
          </w:tcPr>
          <w:p>
            <w:r>
              <w:rPr>
                <w:sz w:val="20"/>
                <w:szCs w:val="20"/>
              </w:rPr>
              <w:t xml:space="preserve">Not currently — flagged as a natural future improvement (e.g., masking low-confidence pixels like extreme shadow or water glare).</w:t>
            </w:r>
          </w:p>
        </w:tc>
      </w:tr>
      <w:tr>
        <w:tc>
          <w:tcPr>
            <w:tcW w:type="dxa" w:w="3600"/>
            <w:shd w:fill="FFFFFF"/>
            <w:tcMar>
              <w:top w:w="80" w:type="dxa"/>
              <w:bottom w:w="80" w:type="dxa"/>
              <w:left w:w="100" w:type="dxa"/>
              <w:right w:w="100" w:type="dxa"/>
            </w:tcMar>
          </w:tcPr>
          <w:p>
            <w:pPr>
              <w:spacing w:before="40" w:after="40"/>
            </w:pPr>
            <w:r>
              <w:rPr>
                <w:rFonts w:ascii="Calibri" w:hAnsi="Calibri"/>
                <w:b/>
                <w:sz w:val="20"/>
              </w:rPr>
              <w:t>Why did training stop at Epoch 78, and how do you know the model converged?</w:t>
            </w:r>
          </w:p>
        </w:tc>
        <w:tc>
          <w:tcPr>
            <w:tcW w:type="dxa" w:w="6800"/>
            <w:shd w:fill="FFFFFF"/>
            <w:tcMar>
              <w:top w:w="80" w:type="dxa"/>
              <w:bottom w:w="80" w:type="dxa"/>
              <w:left w:w="100" w:type="dxa"/>
              <w:right w:w="100" w:type="dxa"/>
            </w:tcMar>
          </w:tcPr>
          <w:p>
            <w:pPr>
              <w:spacing w:before="40" w:after="40"/>
            </w:pPr>
            <w:r>
              <w:rPr>
                <w:rFonts w:ascii="Calibri" w:hAnsi="Calibri"/>
                <w:sz w:val="20"/>
              </w:rPr>
              <w:t>Training ran continuously for 12 hours (Kaggle's platform timeout). Loss converged smoothly from 46.82 down to 12.80 at Epoch 77, with loss improvements plateauing below 13.0 after Epoch 65.</w:t>
            </w:r>
          </w:p>
        </w:tc>
      </w:tr>
      <w:tr>
        <w:tc>
          <w:tcPr>
            <w:tcW w:type="dxa" w:w="3600"/>
            <w:shd w:fill="F2F5FA"/>
            <w:tcMar>
              <w:top w:w="80" w:type="dxa"/>
              <w:bottom w:w="80" w:type="dxa"/>
              <w:left w:w="100" w:type="dxa"/>
              <w:right w:w="100" w:type="dxa"/>
            </w:tcMar>
          </w:tcPr>
          <w:p>
            <w:pPr>
              <w:spacing w:before="40" w:after="40"/>
            </w:pPr>
            <w:r>
              <w:rPr>
                <w:rFonts w:ascii="Calibri" w:hAnsi="Calibri"/>
                <w:b/>
                <w:sz w:val="20"/>
              </w:rPr>
              <w:t>Why is decoder_best_all.pth only 5.49 MB while epoch checkpoints are 16.43 MB?</w:t>
            </w:r>
          </w:p>
        </w:tc>
        <w:tc>
          <w:tcPr>
            <w:tcW w:type="dxa" w:w="6800"/>
            <w:shd w:fill="F2F5FA"/>
            <w:tcMar>
              <w:top w:w="80" w:type="dxa"/>
              <w:bottom w:w="80" w:type="dxa"/>
              <w:left w:w="100" w:type="dxa"/>
              <w:right w:w="100" w:type="dxa"/>
            </w:tcMar>
          </w:tcPr>
          <w:p>
            <w:pPr>
              <w:spacing w:before="40" w:after="40"/>
            </w:pPr>
            <w:r>
              <w:rPr>
                <w:rFonts w:ascii="Calibri" w:hAnsi="Calibri"/>
                <w:sz w:val="20"/>
              </w:rPr>
              <w:t>Regular epoch checkpoints retain AdamW first and second momentum buffers for training resumption. The best checkpoint strips optimizer buffers, leaving only pure neural network weights for lightweight web serving.</w:t>
            </w:r>
          </w:p>
        </w:tc>
      </w:tr>
      <w:tr>
        <w:tc>
          <w:tcPr>
            <w:tcW w:type="dxa" w:w="3600"/>
            <w:shd w:fill="FFFFFF"/>
            <w:tcMar>
              <w:top w:w="80" w:type="dxa"/>
              <w:bottom w:w="80" w:type="dxa"/>
              <w:left w:w="100" w:type="dxa"/>
              <w:right w:w="100" w:type="dxa"/>
            </w:tcMar>
          </w:tcPr>
          <w:p>
            <w:pPr>
              <w:spacing w:before="40" w:after="40"/>
            </w:pPr>
            <w:r>
              <w:rPr>
                <w:rFonts w:ascii="Calibri" w:hAnsi="Calibri"/>
                <w:b/>
                <w:sz w:val="20"/>
              </w:rPr>
              <w:t>How does Heimdall process massive 8K × 8K satellite imagery without running out of GPU memory (OOM)?</w:t>
            </w:r>
          </w:p>
        </w:tc>
        <w:tc>
          <w:tcPr>
            <w:tcW w:type="dxa" w:w="6800"/>
            <w:shd w:fill="FFFFFF"/>
            <w:tcMar>
              <w:top w:w="80" w:type="dxa"/>
              <w:bottom w:w="80" w:type="dxa"/>
              <w:left w:w="100" w:type="dxa"/>
              <w:right w:w="100" w:type="dxa"/>
            </w:tcMar>
          </w:tcPr>
          <w:p>
            <w:pPr>
              <w:spacing w:before="40" w:after="40"/>
            </w:pPr>
            <w:r>
              <w:rPr>
                <w:rFonts w:ascii="Calibri" w:hAnsi="Calibri"/>
                <w:sz w:val="20"/>
              </w:rPr>
              <w:t>We use an overlapping sliding-window tiling engine (512×512 with 64px overlap) and 2D Hann cosine-tapered window weighting, completely eliminating tile border seams.</w:t>
            </w:r>
          </w:p>
        </w:tc>
      </w:tr>
      <w:tr>
        <w:tc>
          <w:tcPr>
            <w:tcW w:type="dxa" w:w="3600"/>
            <w:shd w:fill="F2F5FA"/>
            <w:tcMar>
              <w:top w:w="80" w:type="dxa"/>
              <w:bottom w:w="80" w:type="dxa"/>
              <w:left w:w="100" w:type="dxa"/>
              <w:right w:w="100" w:type="dxa"/>
            </w:tcMar>
          </w:tcPr>
          <w:p>
            <w:pPr>
              <w:spacing w:before="40" w:after="40"/>
            </w:pPr>
            <w:r>
              <w:rPr>
                <w:rFonts w:ascii="Calibri" w:hAnsi="Calibri"/>
                <w:b/>
                <w:sz w:val="20"/>
              </w:rPr>
              <w:t>How does the system ensure compatibility with industry GIS tools like ArcGIS and QGIS?</w:t>
            </w:r>
          </w:p>
        </w:tc>
        <w:tc>
          <w:tcPr>
            <w:tcW w:type="dxa" w:w="6800"/>
            <w:shd w:fill="F2F5FA"/>
            <w:tcMar>
              <w:top w:w="80" w:type="dxa"/>
              <w:bottom w:w="80" w:type="dxa"/>
              <w:left w:w="100" w:type="dxa"/>
              <w:right w:w="100" w:type="dxa"/>
            </w:tcMar>
          </w:tcPr>
          <w:p>
            <w:pPr>
              <w:spacing w:before="40" w:after="40"/>
            </w:pPr>
            <w:r>
              <w:rPr>
                <w:rFonts w:ascii="Calibri" w:hAnsi="Calibri"/>
                <w:sz w:val="20"/>
              </w:rPr>
              <w:t>It reads and writes native 32-bit floating-point GeoTIFFs using Rasterio, preserving the original Coordinate Reference System (CRS, e.g., UTM Zone 45N EPSG:32645) and affine geotransform matrix.</w:t>
            </w:r>
          </w:p>
        </w:tc>
      </w:tr>
    </w:tbl>
    <w:p>
      <w:pPr>
        <w:spacing w:before="400"/>
      </w:pPr>
      <w:r>
        <w:rPr>
          <w:i/>
          <w:iCs/>
          <w:color w:val="666666"/>
        </w:rPr>
        <w:t xml:space="preserve">This report consolidates architecture, math, training telemetry, and presentation guidance for the Heimdall project. Use Section 10 as your slide skeleton and Sections 11–12 as your speaking/Q&amp;A cheat sheet.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2026-09-18T18:23:00.860Z</dcterms:created>
  <dcterms:modified xsi:type="dcterms:W3CDTF">2026-09-18T18:23:00.860Z</dcterms:modified>
</cp:coreProperties>
</file>

<file path=docProps/custom.xml><?xml version="1.0" encoding="utf-8"?>
<Properties xmlns="http://schemas.openxmlformats.org/officeDocument/2006/custom-properties" xmlns:vt="http://schemas.openxmlformats.org/officeDocument/2006/docPropsVTypes"/>
</file>