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ILLUSION OF CONSENT: HOW DARK PATTERNS UNDERMINE CONSENT UNDER INDIA’S DPDP ACT, 2023</w:t>
      </w:r>
    </w:p>
    <w:p w:rsidR="00000000" w:rsidDel="00000000" w:rsidP="00000000" w:rsidRDefault="00000000" w:rsidRPr="00000000" w14:paraId="00000002">
      <w:pPr>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ASWATHI A</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FACADE OF "I AGREE":</w:t>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Agree.” It is one of the most repeatedly clicked buttons in the internet and websites. We agree to do it in order to create an account in a particular web page, to read a blog or article, for online shopping etc... But the central issue is whether do I voluntarily choose to give my consent or whether it is designed in such a way that I am forced to give it?</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present world, consent is given merely by clicking a tick box. But this small button hides a harsh and complex reality. The digital platforms use a lot of interface designs that makes the users directed towards the choice that allows large amount of collection of personal data.</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These interfaces are being used in a manipulative way thus it is generally known as “Dark Patterns”. </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These dark patterns reduce the transparency of other alternatives available, manipulate behavioural inclination and reduces the chance of exercising privacy protection.</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 Cumulatively they result in loss of privacy, less control over the personal information, discommode, emotional and mental agony.</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LEGAL MANDATES VS. INTERFACE REALITY:</w:t>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regulate all these individual person needs to give consent under the Digital Personal Data Protection Act,2023 (DPDP Act). Because of which the individual person has a significant amount of control over their personal data and information.</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Fonts w:ascii="Times New Roman" w:cs="Times New Roman" w:eastAsia="Times New Roman" w:hAnsi="Times New Roman"/>
          <w:rtl w:val="0"/>
        </w:rPr>
        <w:t xml:space="preserve"> In order to be a valid consent, it must have certain characteristics such as it must be voluntary, informed, specific to the purpose for which the data is being collected, must be expressed in clear and intelligible manner and it should also be capable of withdrawing it.</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Fonts w:ascii="Times New Roman" w:cs="Times New Roman" w:eastAsia="Times New Roman" w:hAnsi="Times New Roman"/>
          <w:rtl w:val="0"/>
        </w:rPr>
        <w:t xml:space="preserve"> The burden of proof whether the consent was obtained or not is upon the data fiduciary.</w:t>
      </w:r>
      <w:r w:rsidDel="00000000" w:rsidR="00000000" w:rsidRPr="00000000">
        <w:rPr>
          <w:rFonts w:ascii="Times New Roman" w:cs="Times New Roman" w:eastAsia="Times New Roman" w:hAnsi="Times New Roman"/>
          <w:vertAlign w:val="superscript"/>
        </w:rPr>
        <w:footnoteReference w:customMarkFollows="0" w:id="7"/>
      </w: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virtue, all these prerequisites seem strong but the real problem comes into picture while translating the all these legal principles into interface design.</w:t>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we generally see a cookie banner that pop up when we access a website. The general option that we notably have is either “Accept All” or “Reject All”. But there is a third option which is always hidden under a shadow that is “Manage Preferences”.</w:t>
      </w:r>
      <w:r w:rsidDel="00000000" w:rsidR="00000000" w:rsidRPr="00000000">
        <w:rPr>
          <w:rFonts w:ascii="Times New Roman" w:cs="Times New Roman" w:eastAsia="Times New Roman" w:hAnsi="Times New Roman"/>
          <w:vertAlign w:val="superscript"/>
        </w:rPr>
        <w:footnoteReference w:customMarkFollows="0" w:id="8"/>
      </w:r>
      <w:r w:rsidDel="00000000" w:rsidR="00000000" w:rsidRPr="00000000">
        <w:rPr>
          <w:rFonts w:ascii="Times New Roman" w:cs="Times New Roman" w:eastAsia="Times New Roman" w:hAnsi="Times New Roman"/>
          <w:rtl w:val="0"/>
        </w:rPr>
        <w:t xml:space="preserve"> Another situation is where when we want to access a website, we are required to sign in. During the same at the end, we have a mandatory tick box for the acceptance of terms and privacy policy. This is a choice given to the users rather it is an inevitable one for those users who want to access the website.</w:t>
      </w:r>
      <w:r w:rsidDel="00000000" w:rsidR="00000000" w:rsidRPr="00000000">
        <w:rPr>
          <w:rFonts w:ascii="Times New Roman" w:cs="Times New Roman" w:eastAsia="Times New Roman" w:hAnsi="Times New Roman"/>
          <w:vertAlign w:val="superscript"/>
        </w:rPr>
        <w:footnoteReference w:customMarkFollows="0" w:id="9"/>
      </w:r>
      <w:r w:rsidDel="00000000" w:rsidR="00000000" w:rsidRPr="00000000">
        <w:rPr>
          <w:rFonts w:ascii="Times New Roman" w:cs="Times New Roman" w:eastAsia="Times New Roman" w:hAnsi="Times New Roman"/>
          <w:rtl w:val="0"/>
        </w:rPr>
        <w:t xml:space="preserve"> On a general notion people think user is the one who makes a choice but the reality is that the structure is made in such a way that it is leaning towards the decision of the preference of the platform.</w:t>
      </w:r>
      <w:r w:rsidDel="00000000" w:rsidR="00000000" w:rsidRPr="00000000">
        <w:rPr>
          <w:rFonts w:ascii="Times New Roman" w:cs="Times New Roman" w:eastAsia="Times New Roman" w:hAnsi="Times New Roman"/>
          <w:vertAlign w:val="superscript"/>
        </w:rPr>
        <w:footnoteReference w:customMarkFollows="0" w:id="10"/>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TAXONOMIES OF MANIPULATION AND EMPIRICAL TRUTHS:</w:t>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Various researches have pointed out certain concerns regarding consent dark patterns. Firstly, preselection makes the choice of intrusion of privacy a default one. Secondly obstruction makes it even more difficult for the users who try to reject consent by adding friction. Thirdly hidden information becomes an obstacle to uncover the privacy protection settings.</w:t>
      </w:r>
      <w:r w:rsidDel="00000000" w:rsidR="00000000" w:rsidRPr="00000000">
        <w:rPr>
          <w:rFonts w:ascii="Times New Roman" w:cs="Times New Roman" w:eastAsia="Times New Roman" w:hAnsi="Times New Roman"/>
          <w:vertAlign w:val="superscript"/>
        </w:rPr>
        <w:footnoteReference w:customMarkFollows="0" w:id="11"/>
      </w:r>
      <w:r w:rsidDel="00000000" w:rsidR="00000000" w:rsidRPr="00000000">
        <w:rPr>
          <w:rFonts w:ascii="Times New Roman" w:cs="Times New Roman" w:eastAsia="Times New Roman" w:hAnsi="Times New Roman"/>
          <w:rtl w:val="0"/>
        </w:rPr>
        <w:t xml:space="preserve">  Lastly sneaking is about inferring consent from the persons action even though the user didn’t comprehend it as a consent.</w:t>
      </w:r>
      <w:r w:rsidDel="00000000" w:rsidR="00000000" w:rsidRPr="00000000">
        <w:rPr>
          <w:rFonts w:ascii="Times New Roman" w:cs="Times New Roman" w:eastAsia="Times New Roman" w:hAnsi="Times New Roman"/>
          <w:vertAlign w:val="superscript"/>
        </w:rPr>
        <w:footnoteReference w:customMarkFollows="0" w:id="12"/>
      </w: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study on consent management interfaces have shown that the implied consent and dark patterns are extensive. It also found out that only 11.8% of the consent-management interfaces which they examined met its minimum requirements. By removing an opt-out option increased consent by 22-23 percentage points, while granular controls decreased consent by 8-20 percentage points.</w:t>
      </w:r>
      <w:r w:rsidDel="00000000" w:rsidR="00000000" w:rsidRPr="00000000">
        <w:rPr>
          <w:rFonts w:ascii="Times New Roman" w:cs="Times New Roman" w:eastAsia="Times New Roman" w:hAnsi="Times New Roman"/>
          <w:vertAlign w:val="superscript"/>
        </w:rPr>
        <w:footnoteReference w:customMarkFollows="0" w:id="13"/>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TRAP OF BUNDLED CONSENT AND PSYCHOLOGICAL EXPLOITATION:</w:t>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elevates when the consent is bundled. Clicking a single button can concurrently set up an account, accept the terms and privacy policy and even shows the agreement for the data processing purpose.</w:t>
      </w:r>
      <w:r w:rsidDel="00000000" w:rsidR="00000000" w:rsidRPr="00000000">
        <w:rPr>
          <w:rFonts w:ascii="Times New Roman" w:cs="Times New Roman" w:eastAsia="Times New Roman" w:hAnsi="Times New Roman"/>
          <w:vertAlign w:val="superscript"/>
        </w:rPr>
        <w:footnoteReference w:customMarkFollows="0" w:id="14"/>
      </w:r>
      <w:r w:rsidDel="00000000" w:rsidR="00000000" w:rsidRPr="00000000">
        <w:rPr>
          <w:rFonts w:ascii="Times New Roman" w:cs="Times New Roman" w:eastAsia="Times New Roman" w:hAnsi="Times New Roman"/>
          <w:rtl w:val="0"/>
        </w:rPr>
        <w:t xml:space="preserve"> Many scholars have raised their question by asking whether bundled consent truly reflects an individual person’s choice.</w:t>
      </w:r>
      <w:r w:rsidDel="00000000" w:rsidR="00000000" w:rsidRPr="00000000">
        <w:rPr>
          <w:rFonts w:ascii="Times New Roman" w:cs="Times New Roman" w:eastAsia="Times New Roman" w:hAnsi="Times New Roman"/>
          <w:vertAlign w:val="superscript"/>
        </w:rPr>
        <w:footnoteReference w:customMarkFollows="0" w:id="15"/>
      </w:r>
      <w:r w:rsidDel="00000000" w:rsidR="00000000" w:rsidRPr="00000000">
        <w:rPr>
          <w:rFonts w:ascii="Times New Roman" w:cs="Times New Roman" w:eastAsia="Times New Roman" w:hAnsi="Times New Roman"/>
          <w:rtl w:val="0"/>
        </w:rPr>
        <w:t xml:space="preserve"> The issue arises when a digital service puts forth condition upon the users to agree for data processing where such processing isn’t relevant to that particular digital service. Hence the question whether the consent given is genuinely free or not in such circumstances would emerge.</w:t>
      </w:r>
      <w:r w:rsidDel="00000000" w:rsidR="00000000" w:rsidRPr="00000000">
        <w:rPr>
          <w:rFonts w:ascii="Times New Roman" w:cs="Times New Roman" w:eastAsia="Times New Roman" w:hAnsi="Times New Roman"/>
          <w:vertAlign w:val="superscript"/>
        </w:rPr>
        <w:footnoteReference w:customMarkFollows="0" w:id="16"/>
      </w:r>
      <w:r w:rsidDel="00000000" w:rsidR="00000000" w:rsidRPr="00000000">
        <w:rPr>
          <w:rFonts w:ascii="Times New Roman" w:cs="Times New Roman" w:eastAsia="Times New Roman" w:hAnsi="Times New Roman"/>
          <w:rtl w:val="0"/>
        </w:rPr>
        <w:t xml:space="preserve"> In order to determine a choice as an authentic one certain factor needs to be taken into consideration such as the accessibility to other substitutes and the nexus between data processing and performance of contractual duties.</w:t>
      </w:r>
      <w:r w:rsidDel="00000000" w:rsidR="00000000" w:rsidRPr="00000000">
        <w:rPr>
          <w:rFonts w:ascii="Times New Roman" w:cs="Times New Roman" w:eastAsia="Times New Roman" w:hAnsi="Times New Roman"/>
          <w:vertAlign w:val="superscript"/>
        </w:rPr>
        <w:footnoteReference w:customMarkFollows="0" w:id="17"/>
      </w: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also psychological dimension to this problem. Generally, all the privacy information and policy are elaborative and complicated in nature. The user having limited timeframe wouldn’t check upon the repercussions over their digital decision. Therefore, displaying information doesn’t amount to informed decision.</w:t>
      </w:r>
      <w:r w:rsidDel="00000000" w:rsidR="00000000" w:rsidRPr="00000000">
        <w:rPr>
          <w:rFonts w:ascii="Times New Roman" w:cs="Times New Roman" w:eastAsia="Times New Roman" w:hAnsi="Times New Roman"/>
          <w:vertAlign w:val="superscript"/>
        </w:rPr>
        <w:footnoteReference w:customMarkFollows="0" w:id="18"/>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TRUE COST OF MANIPULATIVE DESIGN:</w:t>
      </w:r>
    </w:p>
    <w:p w:rsidR="00000000" w:rsidDel="00000000" w:rsidP="00000000" w:rsidRDefault="00000000" w:rsidRPr="00000000" w14:paraId="000000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the key issue in relation to DPDP Act is not only about whether the consent was obtained but it also should see whether such consent was obtained by providing a genuine opportunity for the user to choose.</w:t>
      </w:r>
      <w:r w:rsidDel="00000000" w:rsidR="00000000" w:rsidRPr="00000000">
        <w:rPr>
          <w:rFonts w:ascii="Times New Roman" w:cs="Times New Roman" w:eastAsia="Times New Roman" w:hAnsi="Times New Roman"/>
          <w:vertAlign w:val="superscript"/>
        </w:rPr>
        <w:footnoteReference w:customMarkFollows="0" w:id="19"/>
      </w: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would be a creation of illusion of autonomy when the user is pushed towards acceptance of terms, hinders the rejection or present the substitutes in such a manner where they aren’t visible.</w:t>
      </w:r>
      <w:r w:rsidDel="00000000" w:rsidR="00000000" w:rsidRPr="00000000">
        <w:rPr>
          <w:rFonts w:ascii="Times New Roman" w:cs="Times New Roman" w:eastAsia="Times New Roman" w:hAnsi="Times New Roman"/>
          <w:vertAlign w:val="superscript"/>
        </w:rPr>
        <w:footnoteReference w:customMarkFollows="0" w:id="20"/>
      </w:r>
      <w:r w:rsidDel="00000000" w:rsidR="00000000" w:rsidRPr="00000000">
        <w:rPr>
          <w:rFonts w:ascii="Times New Roman" w:cs="Times New Roman" w:eastAsia="Times New Roman" w:hAnsi="Times New Roman"/>
          <w:rtl w:val="0"/>
        </w:rPr>
        <w:t xml:space="preserve"> Data protection doesn’t confine to mere clicking of a button. It requires protection on the quality of the choice made by the user with regard to the click.</w:t>
      </w:r>
      <w:r w:rsidDel="00000000" w:rsidR="00000000" w:rsidRPr="00000000">
        <w:rPr>
          <w:rFonts w:ascii="Times New Roman" w:cs="Times New Roman" w:eastAsia="Times New Roman" w:hAnsi="Times New Roman"/>
          <w:vertAlign w:val="superscript"/>
        </w:rPr>
        <w:footnoteReference w:customMarkFollows="0" w:id="21"/>
      </w: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 from loss of privacy dark patterns also produce a lot of harms. Loss of autonomy is identified as a central harm because of the incompetence of the users to exercise control and ability to make free and informed decision.</w:t>
      </w:r>
      <w:r w:rsidDel="00000000" w:rsidR="00000000" w:rsidRPr="00000000">
        <w:rPr>
          <w:rFonts w:ascii="Times New Roman" w:cs="Times New Roman" w:eastAsia="Times New Roman" w:hAnsi="Times New Roman"/>
          <w:vertAlign w:val="superscript"/>
        </w:rPr>
        <w:footnoteReference w:customMarkFollows="0" w:id="22"/>
      </w:r>
      <w:r w:rsidDel="00000000" w:rsidR="00000000" w:rsidRPr="00000000">
        <w:rPr>
          <w:rFonts w:ascii="Times New Roman" w:cs="Times New Roman" w:eastAsia="Times New Roman" w:hAnsi="Times New Roman"/>
          <w:rtl w:val="0"/>
        </w:rPr>
        <w:t xml:space="preserve">  Other harms include loss of time, cognitive burden, mental distress and attention harm. Therefore, manipulation plays a vital role when it interferes with a user’s control over their decision regarding personal data.</w:t>
      </w:r>
      <w:r w:rsidDel="00000000" w:rsidR="00000000" w:rsidRPr="00000000">
        <w:rPr>
          <w:rFonts w:ascii="Times New Roman" w:cs="Times New Roman" w:eastAsia="Times New Roman" w:hAnsi="Times New Roman"/>
          <w:vertAlign w:val="superscript"/>
        </w:rPr>
        <w:footnoteReference w:customMarkFollows="0" w:id="23"/>
      </w: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MOVING BEYOND UNAVOIDABLE CONSENT:</w:t>
      </w:r>
    </w:p>
    <w:p w:rsidR="00000000" w:rsidDel="00000000" w:rsidP="00000000" w:rsidRDefault="00000000" w:rsidRPr="00000000" w14:paraId="000000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 pattern doesn’t have a single form and manipulation happens through defaults, interface structure and third-party technologies as well. The DPDP Act framework calls for a major approach where the consent mechanism should genuinely offer acceptance as well as refusal.</w:t>
      </w:r>
      <w:r w:rsidDel="00000000" w:rsidR="00000000" w:rsidRPr="00000000">
        <w:rPr>
          <w:rFonts w:ascii="Times New Roman" w:cs="Times New Roman" w:eastAsia="Times New Roman" w:hAnsi="Times New Roman"/>
          <w:vertAlign w:val="superscript"/>
        </w:rPr>
        <w:footnoteReference w:customMarkFollows="0" w:id="24"/>
      </w:r>
      <w:r w:rsidDel="00000000" w:rsidR="00000000" w:rsidRPr="00000000">
        <w:rPr>
          <w:rFonts w:ascii="Times New Roman" w:cs="Times New Roman" w:eastAsia="Times New Roman" w:hAnsi="Times New Roman"/>
          <w:rtl w:val="0"/>
        </w:rPr>
        <w:t xml:space="preserve"> And at the same time, they have to address the issues of preselection, processing of data for any other purpose for which it was obtained, unnecessary friction and offer for withdrawal. The main objective is that the consent should be based on users own decision rather than making it unavoidable consent.</w:t>
      </w:r>
      <w:r w:rsidDel="00000000" w:rsidR="00000000" w:rsidRPr="00000000">
        <w:rPr>
          <w:rFonts w:ascii="Times New Roman" w:cs="Times New Roman" w:eastAsia="Times New Roman" w:hAnsi="Times New Roman"/>
          <w:vertAlign w:val="superscript"/>
        </w:rPr>
        <w:footnoteReference w:customMarkFollows="0" w:id="25"/>
      </w:r>
      <w:r w:rsidDel="00000000" w:rsidR="00000000" w:rsidRPr="00000000">
        <w:rPr>
          <w:rFonts w:ascii="Times New Roman" w:cs="Times New Roman" w:eastAsia="Times New Roman" w:hAnsi="Times New Roman"/>
          <w:vertAlign w:val="superscript"/>
        </w:rPr>
        <w:footnoteReference w:customMarkFollows="0" w:id="26"/>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Robinson, Eric P., and Yicheng Zhu. "Beyond “I agree”: Users’ understanding of web site terms of service."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Social media+ society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6.1 (2020): 2056305119897321.</w:t>
      </w:r>
    </w:p>
  </w:footnote>
  <w:footnote w:id="1">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Curley, Andrea, et al. "The Design of a framework for the detection of web-based dark patterns." (2021).</w:t>
      </w:r>
    </w:p>
  </w:footnote>
  <w:footnote w:id="4">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Maier, Maximilian, and Rikard Harr. "Dark design patterns: An end-user perspective."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Human Technology: An Interdisciplinary Journal on Humans in ICT Environments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(2020).</w:t>
      </w:r>
    </w:p>
  </w:footnote>
  <w:footnote w:id="5">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Sundara, Karishma, and Nikhil Narendran. "The Digital Personal Data Protection Act, 2023: analysing India's dynamic approach to data protection."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Computer Law Review International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24.5 (2023): 129.</w:t>
      </w:r>
    </w:p>
  </w:footnote>
  <w:footnote w:id="7">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Naithani, Paarth. "Analysis of India’s digital personal data protection act, 2023."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International Journal of Law and Management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67.5 (2025): 543-553.</w:t>
      </w:r>
      <w:r w:rsidDel="00000000" w:rsidR="00000000" w:rsidRPr="00000000">
        <w:rPr>
          <w:rtl w:val="0"/>
        </w:rPr>
      </w:r>
    </w:p>
  </w:footnote>
  <w:footnote w:id="8">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Chen, Jieshan, et al. "Unveiling the tricks: Automated detection of dark patterns in mobile applications."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36th Annual ACM Symposium on User Interface Software and Technology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2023.</w:t>
      </w:r>
    </w:p>
  </w:footnote>
  <w:footnote w:id="9">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Chromik, Michael, et al. "Dark Patterns of Explainability, Transparency, and User Control for Intelligent Systems."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IUI workshops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2327. 2019.</w:t>
      </w:r>
    </w:p>
  </w:footnote>
  <w:footnote w:id="12">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Narayanan, Arvind, et al. "Dark patterns: Past, present, and future."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Communications of the ACM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63.9 (2020): 42-47.</w:t>
      </w:r>
    </w:p>
  </w:footnote>
  <w:footnote w:id="13">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Gunawan, Johanna, et al. "A comparative study of dark patterns across web and mobile modalities."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ACM on human-computer interaction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 CSCW 2 (2021): 1-29.</w:t>
      </w:r>
    </w:p>
  </w:footnote>
  <w:footnote w:id="15">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Pertot, Tereza. "Personal data supplying: the issue of bundled consent."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JUS CIVILE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 2023 (2023): 673-691.</w:t>
      </w:r>
      <w:r w:rsidDel="00000000" w:rsidR="00000000" w:rsidRPr="00000000">
        <w:rPr>
          <w:rtl w:val="0"/>
        </w:rPr>
      </w:r>
    </w:p>
  </w:footnote>
  <w:footnote w:id="17">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Kollmer, Tim, and Andreas Eckhardt. "Dark patterns."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Business &amp; information systems engineering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65.2 (2023): 201-208.</w:t>
      </w:r>
    </w:p>
  </w:footnote>
  <w:footnote w:id="19">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Chen, Jieshan, et al. "Unveiling the tricks: Automated detection of dark patterns in mobile applications."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36th Annual ACM Symposium on User Interface Software and Technology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2023.</w:t>
      </w:r>
    </w:p>
  </w:footnote>
  <w:footnote w:id="21">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Mildner, Thomas, and Gian-Luca Savino. "Ethical user interfaces: Exploring the effects of dark patterns on facebook."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Extended Abstracts of the 2021 CHI Conference on Human Factors in Computing Systems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2021.</w:t>
      </w:r>
    </w:p>
  </w:footnote>
  <w:footnote w:id="23">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Luguri, Jamie, and Lior Jacob Strahilevitz. "Shining a light on dark patterns."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Legal Analysis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13.1 (2021): 43-109.</w:t>
      </w:r>
    </w:p>
  </w:footnote>
  <w:footnote w:id="25">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Mathur, Arunesh, Mihir Kshirsagar, and Jonathan Mayer. "What makes a dark pattern... dark? Design attributes, normative considerations, and measurement methods."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2021 CHI conference on human factors in computing systems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2021.</w:t>
      </w:r>
    </w:p>
  </w:footnote>
  <w:footnote w:id="2">
    <w:p w:rsidR="00000000" w:rsidDel="00000000" w:rsidP="00000000" w:rsidRDefault="00000000" w:rsidRPr="00000000" w14:paraId="00000025">
      <w:pPr>
        <w:spacing w:line="36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I. Luguri &amp; L. Strahilevitz, </w:t>
      </w:r>
      <w:r w:rsidDel="00000000" w:rsidR="00000000" w:rsidRPr="00000000">
        <w:rPr>
          <w:rFonts w:ascii="Times New Roman" w:cs="Times New Roman" w:eastAsia="Times New Roman" w:hAnsi="Times New Roman"/>
          <w:i w:val="1"/>
          <w:iCs w:val="1"/>
          <w:rtl w:val="0"/>
        </w:rPr>
        <w:t xml:space="preserve">Shining a Light on Dark Patterns</w:t>
      </w:r>
      <w:r w:rsidDel="00000000" w:rsidR="00000000" w:rsidRPr="00000000">
        <w:rPr>
          <w:rFonts w:ascii="Times New Roman" w:cs="Times New Roman" w:eastAsia="Times New Roman" w:hAnsi="Times New Roman"/>
          <w:rtl w:val="0"/>
        </w:rPr>
        <w:t xml:space="preserve">, 13 J. Legal Analysis 43 (2021).</w:t>
      </w:r>
    </w:p>
  </w:footnote>
  <w:footnote w:id="3">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Johanna Gunawan, Cristiana Santos &amp; Irene Kamara, </w:t>
      </w:r>
      <w:r w:rsidDel="00000000" w:rsidR="00000000" w:rsidRPr="00000000">
        <w:rPr>
          <w:rFonts w:ascii="Times New Roman" w:cs="Times New Roman" w:eastAsia="Times New Roman" w:hAnsi="Times New Roman"/>
          <w:i w:val="1"/>
          <w:iCs w:val="1"/>
          <w:rtl w:val="0"/>
        </w:rPr>
        <w:t xml:space="preserve">Redress for Dark Patterns Privacy Harms? A Case Study on Consent Interactions</w:t>
      </w:r>
      <w:r w:rsidDel="00000000" w:rsidR="00000000" w:rsidRPr="00000000">
        <w:rPr>
          <w:rFonts w:ascii="Times New Roman" w:cs="Times New Roman" w:eastAsia="Times New Roman" w:hAnsi="Times New Roman"/>
          <w:rtl w:val="0"/>
        </w:rPr>
        <w:t xml:space="preserve">, Proc. 2022 ACM Symposium on Computer Science &amp; Law 177 (2022), </w:t>
      </w:r>
      <w:hyperlink r:id="rId1">
        <w:r w:rsidDel="00000000" w:rsidR="00000000" w:rsidRPr="00000000">
          <w:rPr>
            <w:rFonts w:ascii="Times New Roman" w:cs="Times New Roman" w:eastAsia="Times New Roman" w:hAnsi="Times New Roman"/>
            <w:color w:val="000000"/>
            <w:u w:val="none"/>
            <w:rtl w:val="0"/>
          </w:rPr>
          <w:t xml:space="preserve">https://doi.org/10.1145/3511265.3550448</w:t>
        </w:r>
      </w:hyperlink>
      <w:r w:rsidDel="00000000" w:rsidR="00000000" w:rsidRPr="00000000">
        <w:rPr>
          <w:rFonts w:ascii="Times New Roman" w:cs="Times New Roman" w:eastAsia="Times New Roman" w:hAnsi="Times New Roman"/>
          <w:rtl w:val="0"/>
        </w:rPr>
        <w:t xml:space="preserve">. </w:t>
      </w:r>
    </w:p>
  </w:footnote>
  <w:footnote w:id="6">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Digital Personal Data Protection Act, 2023, No. 22, Acts of Parliament (India).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ootnote>
  <w:footnote w:id="10">
    <w:p w:rsidR="00000000" w:rsidDel="00000000" w:rsidP="00000000" w:rsidRDefault="00000000" w:rsidRPr="00000000" w14:paraId="00000029">
      <w:pPr>
        <w:spacing w:line="36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S. Bareh, </w:t>
      </w:r>
      <w:r w:rsidDel="00000000" w:rsidR="00000000" w:rsidRPr="00000000">
        <w:rPr>
          <w:rFonts w:ascii="Times New Roman" w:cs="Times New Roman" w:eastAsia="Times New Roman" w:hAnsi="Times New Roman"/>
          <w:i w:val="1"/>
          <w:iCs w:val="1"/>
          <w:rtl w:val="0"/>
        </w:rPr>
        <w:t xml:space="preserve">Reviewing the Privacy Implications of India’s Digital Personal Data Protection Act (2023)</w:t>
      </w:r>
      <w:r w:rsidDel="00000000" w:rsidR="00000000" w:rsidRPr="00000000">
        <w:rPr>
          <w:rFonts w:ascii="Times New Roman" w:cs="Times New Roman" w:eastAsia="Times New Roman" w:hAnsi="Times New Roman"/>
          <w:rtl w:val="0"/>
        </w:rPr>
        <w:t xml:space="preserve">, 44 Delhi L. Rev. 1 (2024). </w:t>
      </w:r>
    </w:p>
  </w:footnote>
  <w:footnote w:id="11">
    <w:p w:rsidR="00000000" w:rsidDel="00000000" w:rsidP="00000000" w:rsidRDefault="00000000" w:rsidRPr="00000000" w14:paraId="0000002A">
      <w:pPr>
        <w:spacing w:line="36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Cristiana Santos, Viktorija Morozovaite &amp; Silvia De Conca, </w:t>
      </w:r>
      <w:r w:rsidDel="00000000" w:rsidR="00000000" w:rsidRPr="00000000">
        <w:rPr>
          <w:rFonts w:ascii="Times New Roman" w:cs="Times New Roman" w:eastAsia="Times New Roman" w:hAnsi="Times New Roman"/>
          <w:i w:val="1"/>
          <w:iCs w:val="1"/>
          <w:rtl w:val="0"/>
        </w:rPr>
        <w:t xml:space="preserve">No Harm, No Foul: How Harms Caused by Dark Patterns Are Conceptualised and Tackled Under EU Data Protection, Consumer and Competition Laws</w:t>
      </w:r>
      <w:r w:rsidDel="00000000" w:rsidR="00000000" w:rsidRPr="00000000">
        <w:rPr>
          <w:rFonts w:ascii="Times New Roman" w:cs="Times New Roman" w:eastAsia="Times New Roman" w:hAnsi="Times New Roman"/>
          <w:rtl w:val="0"/>
        </w:rPr>
        <w:t xml:space="preserve">, 34 Info. &amp; Commc’ns Tech. L. 329 (2025), </w:t>
      </w:r>
      <w:hyperlink r:id="rId2">
        <w:r w:rsidDel="00000000" w:rsidR="00000000" w:rsidRPr="00000000">
          <w:rPr>
            <w:rFonts w:ascii="Times New Roman" w:cs="Times New Roman" w:eastAsia="Times New Roman" w:hAnsi="Times New Roman"/>
            <w:color w:val="000000"/>
            <w:u w:val="none"/>
            <w:rtl w:val="0"/>
          </w:rPr>
          <w:t xml:space="preserve">https://doi.org/10.1080/13600834.2025.2461958</w:t>
        </w:r>
      </w:hyperlink>
      <w:r w:rsidDel="00000000" w:rsidR="00000000" w:rsidRPr="00000000">
        <w:rPr>
          <w:rFonts w:ascii="Times New Roman" w:cs="Times New Roman" w:eastAsia="Times New Roman" w:hAnsi="Times New Roman"/>
          <w:rtl w:val="0"/>
        </w:rPr>
        <w:t xml:space="preserve">. </w:t>
      </w:r>
    </w:p>
  </w:footnote>
  <w:footnote w:id="14">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Pertot, Tereza. "Personal data supplying: the issue of bundled consent."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JUS CIVILE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2023 (2023): 673-691.</w:t>
      </w:r>
    </w:p>
  </w:footnote>
  <w:footnote w:id="16">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Chomphlernjai, Surachai, and Supatra Phanwichit. "Problems Concerning Consent under the Personal Data Protection Act BE 2562 (2019)." (2025).</w:t>
      </w:r>
    </w:p>
  </w:footnote>
  <w:footnote w:id="18">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Pertot, T. "Personal Data Supplying: The Issue of Bundled Consent."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Exploring Digital Legal Landscapes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Logos Verlag Berlin GmbH, 2025. 29-59.</w:t>
      </w:r>
    </w:p>
  </w:footnote>
  <w:footnote w:id="20">
    <w:p w:rsidR="00000000" w:rsidDel="00000000" w:rsidP="00000000" w:rsidRDefault="00000000" w:rsidRPr="00000000" w14:paraId="0000002E">
      <w:pPr>
        <w:spacing w:line="36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Tim Kollmer &amp; Alexander Eckhardt, </w:t>
      </w:r>
      <w:r w:rsidDel="00000000" w:rsidR="00000000" w:rsidRPr="00000000">
        <w:rPr>
          <w:rFonts w:ascii="Times New Roman" w:cs="Times New Roman" w:eastAsia="Times New Roman" w:hAnsi="Times New Roman"/>
          <w:i w:val="1"/>
          <w:iCs w:val="1"/>
          <w:rtl w:val="0"/>
        </w:rPr>
        <w:t xml:space="preserve">Dark Patterns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ootnote>
  <w:footnote w:id="22">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Bösch, Christoph, et al. "Tales from the dark side: Privacy dark strategies and privacy dark patterns." </w:t>
      </w:r>
      <w:r w:rsidDel="00000000" w:rsidR="00000000" w:rsidRPr="00000000">
        <w:rPr>
          <w:rFonts w:ascii="Times New Roman" w:cs="Times New Roman" w:eastAsia="Times New Roman" w:hAnsi="Times New Roman"/>
          <w:i w:val="1"/>
          <w:iCs w:val="1"/>
          <w:rtl w:val="0"/>
        </w:rPr>
        <w:t xml:space="preserve">Proceedings on privacy enhancing technologies</w:t>
      </w:r>
      <w:r w:rsidDel="00000000" w:rsidR="00000000" w:rsidRPr="00000000">
        <w:rPr>
          <w:rFonts w:ascii="Times New Roman" w:cs="Times New Roman" w:eastAsia="Times New Roman" w:hAnsi="Times New Roman"/>
          <w:rtl w:val="0"/>
        </w:rPr>
        <w:t xml:space="preserve"> (2016).</w:t>
      </w:r>
    </w:p>
  </w:footnote>
  <w:footnote w:id="24">
    <w:p w:rsidR="00000000" w:rsidDel="00000000" w:rsidP="00000000" w:rsidRDefault="00000000" w:rsidRPr="00000000" w14:paraId="00000031">
      <w:pPr>
        <w:spacing w:line="36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Stephan K. King, </w:t>
      </w:r>
      <w:r w:rsidDel="00000000" w:rsidR="00000000" w:rsidRPr="00000000">
        <w:rPr>
          <w:rFonts w:ascii="Times New Roman" w:cs="Times New Roman" w:eastAsia="Times New Roman" w:hAnsi="Times New Roman"/>
          <w:i w:val="1"/>
          <w:iCs w:val="1"/>
          <w:rtl w:val="0"/>
        </w:rPr>
        <w:t xml:space="preserve">Dark Patterns</w:t>
      </w:r>
      <w:r w:rsidDel="00000000" w:rsidR="00000000" w:rsidRPr="00000000">
        <w:rPr>
          <w:rFonts w:ascii="Times New Roman" w:cs="Times New Roman" w:eastAsia="Times New Roman" w:hAnsi="Times New Roman"/>
          <w:rtl w:val="0"/>
        </w:rPr>
        <w:t xml:space="preserve">, 5 Geo. Tech. Rev. 251 (2021). </w:t>
      </w:r>
    </w:p>
  </w:footnote>
  <w:footnote w:id="26">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Guggenberger, Nikolas. "Consent as friction."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BCL Rev.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66 (2025): 353.</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145/3511265.3550448" TargetMode="External"/><Relationship Id="rId2" Type="http://schemas.openxmlformats.org/officeDocument/2006/relationships/hyperlink" Target="https://doi.org/10.1080/13600834.2025.246195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