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RELIABILITY STANDARDS FOR DEEPFAKE EVIDENCE AND AI-GENERATED MEDIA IN CRIMINAL PROCEEDINGS</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3">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rapid development of generative artificial intelligence has fundamentally altered the evidentiary landscape of criminal justice. Audio recordings, photographs, videos and other digital material that were once regarded as persuasive forms of corroboration can now be generated or manipulated with increasing realism. Deepfakes consequently create a distinctive evidentiary problem: the difficulty is no longer merely determining whether a digital file has remained unaltered after collection, but whether the content itself accurately represents a real person, event or statement. In India, the Bharatiya Sakshya Adhiniyam, 2023 (BSA) has strengthened the statutory framework governing electronic records, particularly through Section 63 and its certification requirements. The Supreme Court's decision in Pune Bar Association v. Union of India further recognised the significance of hash values and expert certification in protecting the authenticity and integrity of electronic evidence. Yet these safeguards do not, by themselves, establish the substantive truthfulness of AI-generated content. This article argues for a layered reliability standard combining provenance, integrity, forensic authentication, expert evaluation, attribution, corroboration and judicial scrutiny. It proposes that criminal courts should distinguish admissibility from reliability and evidentiary weight, particularly where digital media is capable of being synthetically generated.</w:t>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Deepfake, Artificial Intelligence, Digital Evidence, Bharatiya Sakshya Adhiniyam, Electronic Evidence, Authentication, Criminal Proceedings, Digital Forensics.</w:t>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Introduction</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“Seeing is believing” has traditionally carried considerable persuasive force in the courtroom. A video recording, photograph or audio clip could provide a seemingly objective account of an event. Generative artificial intelligence, however, has weakened this assumption. Contemporary AI tools can generate or manipulate images, voices and videos in ways that may make synthetic content difficult to distinguish from authentic recordings.</w:t>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becomes particularly serious in criminal proceedings. A fabricated video may purport to show an accused committing an offence; a synthetic voice may appear to contain an incriminating confession; or manipulated CCTV footage may create an apparently coherent account of an incident. Conversely, genuinely recorded evidence may be dismissed as artificial. Thus, deepfake technology creates a dual danger: false evidence may be accepted as genuine, while genuine evidence may be incorrectly rejected as fabricated.</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evidentiary problem therefore cannot be reduced to a simple question of whether a file is “real” or “fake”. A court must separately consider the origin of the recording, its integrity, whether it has been altered, whether the depicted event actually occurred, whether the persons depicted can be reliably identified, and whether the evidence is sufficiently dependable to support a criminal finding.</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distinction is especially significant under India's new evidence regime. The Bharatiya Sakshya Adhiniyam, 2023 replaced the Indian Evidence Act, 1872 from 1 July 2024 and introduced a modernised framework for electronic and digital records. The challenge now is to determine whether conventional electronic-evidence safeguards are sufficient for media created or manipulated through artificial intelligence.</w:t>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From Electronic Evidence to Synthetic Evidence</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evidence is not synonymous with AI-generated evidence.</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electronic evidence generally consists of information created through ordinary human or technological activity-for example, CCTV footage, emails, call records, photographs, WhatsApp messages or recordings. The central evidentiary concern is generally whether the record presented before the court corresponds to the record generated or stored by the relevant system.</w:t>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AI-generated evidence presents an additional problem. The underlying file may be perfectly intact and may possess an authentic hash value, yet the content itself may be synthetic.</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suppose investigators seize a video file from a computer and calculate its hash value. If the same hash value is produced when the file is subsequently presented before the court, this establishes an important fact: the file has remained unchanged since the relevant point of acquisition. It does not necessarily establish that the video depicts a genuine event.</w:t>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distinction may therefore be expressed as follows:</w:t>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File integrity ≠ substantive authenticity ≠ truthfulness of the depicted event.</w:t>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distinction is crucial because deepfake creation may occur before the evidence enters the chain of custody. Once a fabricated recording is created, preserving that file perfectly cannot transform it into an authentic record of a real-world event.</w:t>
      </w:r>
    </w:p>
    <w:p w:rsidR="00000000" w:rsidDel="00000000" w:rsidP="00000000" w:rsidRDefault="00000000" w:rsidRPr="00000000" w14:paraId="000000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 similarly distinguishes authenticity from mere technical characteristics and emphasises the importance of determining the provenance and lifecycle of digital media.</w:t>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The Indian Legal Framework</w:t>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Bharatiya Sakshya Adhiniyam, 2023</w:t>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BSA gives electronic and digital records express evidentiary recognition. Sections 61–63 constitute the principal statutory framework for electronic records.</w:t>
      </w:r>
    </w:p>
    <w:p w:rsidR="00000000" w:rsidDel="00000000" w:rsidP="00000000" w:rsidRDefault="00000000" w:rsidRPr="00000000" w14:paraId="000000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63 is particularly significant because it regulates the admissibility of electronic records produced in the form of secondary evidence. The prescribed certificate incorporates information concerning the electronic record and requires disclosure of its hash value together with expert certification.</w:t>
      </w:r>
    </w:p>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Supreme Court's 2026 decision in </w:t>
      </w:r>
      <w:r w:rsidDel="00000000" w:rsidR="00000000" w:rsidRPr="00000000">
        <w:rPr>
          <w:rFonts w:ascii="Times New Roman" w:cs="Times New Roman" w:eastAsia="Times New Roman" w:hAnsi="Times New Roman"/>
          <w:i w:val="1"/>
          <w:iCs w:val="1"/>
          <w:rtl w:val="0"/>
        </w:rPr>
        <w:t xml:space="preserve">Pune Bar Association v. Union of India</w:t>
      </w:r>
      <w:r w:rsidDel="00000000" w:rsidR="00000000" w:rsidRPr="00000000">
        <w:rPr>
          <w:rFonts w:ascii="Times New Roman" w:cs="Times New Roman" w:eastAsia="Times New Roman" w:hAnsi="Times New Roman"/>
          <w:rtl w:val="0"/>
        </w:rPr>
        <w:t xml:space="preserve"> is an important development in this area. The Court upheld the constitutional validity of Section 63(4) and observed that the requirement of a hash value has a rational connection with ensuring the authenticity and integrity of electronic records. The Court also recognised that the evidentiary challenges associated with electronic records are intensified by developments in artificial intelligence and deepfake technology.</w:t>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Importantly, however, the Court's reasoning should not be interpreted as establishing that a Section 63 certificate conclusively proves the truthfulness of the content of an electronic record. A hash value verifies the identity or integrity of the digital file; it does not independently establish the factual truth of what the file depicts.</w:t>
      </w:r>
    </w:p>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Judicial Development under the Earlier Evidence Act</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Supreme Court's jurisprudence under Section 65-B of the Indian Evidence Act remains important for understanding the development of electronic-evidence principles.</w:t>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iCs w:val="1"/>
          <w:rtl w:val="0"/>
        </w:rPr>
        <w:t xml:space="preserve">Anvar P.V. v. P.K. Basheer</w:t>
      </w:r>
      <w:r w:rsidDel="00000000" w:rsidR="00000000" w:rsidRPr="00000000">
        <w:rPr>
          <w:rFonts w:ascii="Times New Roman" w:cs="Times New Roman" w:eastAsia="Times New Roman" w:hAnsi="Times New Roman"/>
          <w:rtl w:val="0"/>
        </w:rPr>
        <w:t xml:space="preserve">, the Supreme Court held that electronic records produced as secondary evidence had to satisfy the statutory certification requirement under Section 65-B.</w:t>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position was reaffirmed by the Constitution Bench in </w:t>
      </w:r>
      <w:r w:rsidDel="00000000" w:rsidR="00000000" w:rsidRPr="00000000">
        <w:rPr>
          <w:rFonts w:ascii="Times New Roman" w:cs="Times New Roman" w:eastAsia="Times New Roman" w:hAnsi="Times New Roman"/>
          <w:i w:val="1"/>
          <w:iCs w:val="1"/>
          <w:rtl w:val="0"/>
        </w:rPr>
        <w:t xml:space="preserve">Arjun Panditrao Khotkar v. Kailash Kushanrao Gorantyal</w:t>
      </w:r>
      <w:r w:rsidDel="00000000" w:rsidR="00000000" w:rsidRPr="00000000">
        <w:rPr>
          <w:rFonts w:ascii="Times New Roman" w:cs="Times New Roman" w:eastAsia="Times New Roman" w:hAnsi="Times New Roman"/>
          <w:rtl w:val="0"/>
        </w:rPr>
        <w:t xml:space="preserve">, which clarified the mandatory nature of the certificate while recognising that where the original electronic record itself is produced, the position differs.</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decisions establish an important foundation: electronic evidence cannot simply be admitted because it appears convincing. Its method of production and authentication must also satisfy evidentiary requirements.</w:t>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Deepfakes, however, require the next stage of analysis-verification of the content itself.</w:t>
      </w:r>
    </w:p>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Why Existing Authentication Standards Are Not Enough</w:t>
      </w:r>
    </w:p>
    <w:p w:rsidR="00000000" w:rsidDel="00000000" w:rsidP="00000000" w:rsidRDefault="00000000" w:rsidRPr="00000000" w14:paraId="000000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principal weakness in the present framework is that conventional authentication largely focuses on the relationship between the record and the computer system from which it originated.</w:t>
      </w:r>
    </w:p>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deepfake can defeat this assumption.</w:t>
      </w:r>
    </w:p>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 hypothetical criminal case in which a video allegedly shows the accused assaulting the victim. The prosecution produces the original video file, supplies the required certificate, establishes its hash value and proves the chain of custody. These steps may demonstrate that the file presented in court is the same file seized during investigation.</w:t>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several unanswered questions remain:</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the video originally generated by a camera?</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the person's face digitally replaced?</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the voice synthetically generated?</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different frames combined?</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recording correspond to an actual event?</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timestamp reliable?</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the person depicted be independently identified?</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the file undergone editing before it entered police custody?</w:t>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authentication must become a multi-layered inquiry rather than a single certification exercise.</w:t>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Proposed Reliability Standards</w:t>
      </w:r>
    </w:p>
    <w:p w:rsidR="00000000" w:rsidDel="00000000" w:rsidP="00000000" w:rsidRDefault="00000000" w:rsidRPr="00000000" w14:paraId="000000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criminal court dealing with disputed AI-generated or potentially manipulated media should consider at least six dimensions of reliability.</w:t>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Provenance</w:t>
      </w:r>
    </w:p>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question should be: Where did the media come from?</w:t>
      </w:r>
    </w:p>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Investigators should identify, wherever possible:</w:t>
      </w:r>
    </w:p>
    <w:p w:rsidR="00000000" w:rsidDel="00000000" w:rsidP="00000000" w:rsidRDefault="00000000" w:rsidRPr="00000000" w14:paraId="00000032">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the original recording device;</w:t>
      </w:r>
    </w:p>
    <w:p w:rsidR="00000000" w:rsidDel="00000000" w:rsidP="00000000" w:rsidRDefault="00000000" w:rsidRPr="00000000" w14:paraId="00000033">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the person or system that created the recording;</w:t>
      </w:r>
    </w:p>
    <w:p w:rsidR="00000000" w:rsidDel="00000000" w:rsidP="00000000" w:rsidRDefault="00000000" w:rsidRPr="00000000" w14:paraId="00000034">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the date and circumstances of creation;</w:t>
      </w:r>
    </w:p>
    <w:p w:rsidR="00000000" w:rsidDel="00000000" w:rsidP="00000000" w:rsidRDefault="00000000" w:rsidRPr="00000000" w14:paraId="00000035">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the transfer history;</w:t>
      </w:r>
    </w:p>
    <w:p w:rsidR="00000000" w:rsidDel="00000000" w:rsidP="00000000" w:rsidRDefault="00000000" w:rsidRPr="00000000" w14:paraId="00000036">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storage locations;</w:t>
      </w:r>
    </w:p>
    <w:p w:rsidR="00000000" w:rsidDel="00000000" w:rsidP="00000000" w:rsidRDefault="00000000" w:rsidRPr="00000000" w14:paraId="00000037">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editing or processing history; and</w:t>
      </w:r>
    </w:p>
    <w:p w:rsidR="00000000" w:rsidDel="00000000" w:rsidP="00000000" w:rsidRDefault="00000000" w:rsidRPr="00000000" w14:paraId="00000038">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the earliest available version of the material.</w:t>
      </w:r>
    </w:p>
    <w:p w:rsidR="00000000" w:rsidDel="00000000" w:rsidP="00000000" w:rsidRDefault="00000000" w:rsidRPr="00000000" w14:paraId="000000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Provenance is particularly important because a file downloaded from social media or forwarded through multiple messaging platforms may have an uncertain origin.</w:t>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Digital Integrity</w:t>
      </w:r>
    </w:p>
    <w:p w:rsidR="00000000" w:rsidDel="00000000" w:rsidP="00000000" w:rsidRDefault="00000000" w:rsidRPr="00000000" w14:paraId="000000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requirement concerns whether the evidence has been altered after acquisition.</w:t>
      </w:r>
    </w:p>
    <w:p w:rsidR="00000000" w:rsidDel="00000000" w:rsidP="00000000" w:rsidRDefault="00000000" w:rsidRPr="00000000" w14:paraId="000000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 values, forensic imaging, write-blocking, secure storage and documented chain-of-custody procedures can assist in demonstrating integrity. The BSA's statutory emphasis on hash values reinforces this approach. The Supreme Court in </w:t>
      </w:r>
      <w:r w:rsidDel="00000000" w:rsidR="00000000" w:rsidRPr="00000000">
        <w:rPr>
          <w:rFonts w:ascii="Times New Roman" w:cs="Times New Roman" w:eastAsia="Times New Roman" w:hAnsi="Times New Roman"/>
          <w:i w:val="1"/>
          <w:iCs w:val="1"/>
          <w:rtl w:val="0"/>
        </w:rPr>
        <w:t xml:space="preserve">Pune Bar Association</w:t>
      </w:r>
      <w:r w:rsidDel="00000000" w:rsidR="00000000" w:rsidRPr="00000000">
        <w:rPr>
          <w:rFonts w:ascii="Times New Roman" w:cs="Times New Roman" w:eastAsia="Times New Roman" w:hAnsi="Times New Roman"/>
          <w:rtl w:val="0"/>
        </w:rPr>
        <w:t xml:space="preserve"> specifically recognised the role of hash values as an electronic fingerprint for verifying digital data.</w:t>
      </w:r>
    </w:p>
    <w:p w:rsidR="00000000" w:rsidDel="00000000" w:rsidP="00000000" w:rsidRDefault="00000000" w:rsidRPr="00000000" w14:paraId="000000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Nevertheless, integrity should be treated as only one component of reliability.</w:t>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Forensic Authenticity</w:t>
      </w:r>
    </w:p>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question should concern whether the content itself has characteristics indicating manipulation.</w:t>
      </w:r>
    </w:p>
    <w:p w:rsidR="00000000" w:rsidDel="00000000" w:rsidP="00000000" w:rsidRDefault="00000000" w:rsidRPr="00000000" w14:paraId="000000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forensic examination may consider:</w:t>
      </w:r>
    </w:p>
    <w:p w:rsidR="00000000" w:rsidDel="00000000" w:rsidP="00000000" w:rsidRDefault="00000000" w:rsidRPr="00000000" w14:paraId="00000041">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frame-level inconsistencies;</w:t>
      </w:r>
    </w:p>
    <w:p w:rsidR="00000000" w:rsidDel="00000000" w:rsidP="00000000" w:rsidRDefault="00000000" w:rsidRPr="00000000" w14:paraId="00000042">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unnatural facial movements;</w:t>
      </w:r>
    </w:p>
    <w:p w:rsidR="00000000" w:rsidDel="00000000" w:rsidP="00000000" w:rsidRDefault="00000000" w:rsidRPr="00000000" w14:paraId="00000043">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audio-video synchronisation;</w:t>
      </w:r>
    </w:p>
    <w:p w:rsidR="00000000" w:rsidDel="00000000" w:rsidP="00000000" w:rsidRDefault="00000000" w:rsidRPr="00000000" w14:paraId="00000044">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inconsistent lighting and shadows;</w:t>
      </w:r>
    </w:p>
    <w:p w:rsidR="00000000" w:rsidDel="00000000" w:rsidP="00000000" w:rsidRDefault="00000000" w:rsidRPr="00000000" w14:paraId="00000045">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compression irregularities;</w:t>
      </w:r>
    </w:p>
    <w:p w:rsidR="00000000" w:rsidDel="00000000" w:rsidP="00000000" w:rsidRDefault="00000000" w:rsidRPr="00000000" w14:paraId="00000046">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metadata anomalies;</w:t>
      </w:r>
    </w:p>
    <w:p w:rsidR="00000000" w:rsidDel="00000000" w:rsidP="00000000" w:rsidRDefault="00000000" w:rsidRPr="00000000" w14:paraId="00000047">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image-level artefacts;</w:t>
      </w:r>
    </w:p>
    <w:p w:rsidR="00000000" w:rsidDel="00000000" w:rsidP="00000000" w:rsidRDefault="00000000" w:rsidRPr="00000000" w14:paraId="00000048">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unusual pixel patterns;</w:t>
      </w:r>
    </w:p>
    <w:p w:rsidR="00000000" w:rsidDel="00000000" w:rsidP="00000000" w:rsidRDefault="00000000" w:rsidRPr="00000000" w14:paraId="00000049">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voice characteristics;</w:t>
      </w:r>
    </w:p>
    <w:p w:rsidR="00000000" w:rsidDel="00000000" w:rsidP="00000000" w:rsidRDefault="00000000" w:rsidRPr="00000000" w14:paraId="0000004A">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inconsistent reflections;</w:t>
      </w:r>
    </w:p>
    <w:p w:rsidR="00000000" w:rsidDel="00000000" w:rsidP="00000000" w:rsidRDefault="00000000" w:rsidRPr="00000000" w14:paraId="0000004B">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editing traces; and</w:t>
      </w:r>
    </w:p>
    <w:p w:rsidR="00000000" w:rsidDel="00000000" w:rsidP="00000000" w:rsidRDefault="00000000" w:rsidRPr="00000000" w14:paraId="0000004C">
      <w:pPr>
        <w:numPr>
          <w:ilvl w:val="0"/>
          <w:numId w:val="3"/>
        </w:numPr>
        <w:spacing w:line="360" w:lineRule="auto"/>
        <w:ind w:left="720" w:hanging="360"/>
        <w:jc w:val="both"/>
        <w:rPr/>
      </w:pPr>
      <w:r w:rsidDel="00000000" w:rsidR="00000000" w:rsidRPr="00000000">
        <w:rPr>
          <w:rFonts w:ascii="Times New Roman" w:cs="Times New Roman" w:eastAsia="Times New Roman" w:hAnsi="Times New Roman"/>
          <w:rtl w:val="0"/>
        </w:rPr>
        <w:t xml:space="preserve">indicators associated with known generative-AI systems.</w:t>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NIST's current work on deepfake forensics emphasises that detection systems must be evaluated against realistic conditions, including post-processing, compression and adversarial manipulation. NIST has specifically identified the gap between performance in controlled research environments and performance in operational settings as a significant challenge.</w:t>
      </w:r>
    </w:p>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a court should be cautious about treating the output of an AI-detection tool as infallible.</w:t>
      </w:r>
    </w:p>
    <w:p w:rsidR="00000000" w:rsidDel="00000000" w:rsidP="00000000" w:rsidRDefault="00000000" w:rsidRPr="00000000" w14:paraId="0000004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Reliability and Validation of the Detection Tool</w:t>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important but often overlooked question is whether the detector itself is reliable.</w:t>
      </w:r>
    </w:p>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forensic report stating that “the AI detector classified the video as a deepfake” should not end the judicial inquiry. The court should consider:</w:t>
      </w:r>
    </w:p>
    <w:p w:rsidR="00000000" w:rsidDel="00000000" w:rsidP="00000000" w:rsidRDefault="00000000" w:rsidRPr="00000000" w14:paraId="00000052">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rtl w:val="0"/>
        </w:rPr>
        <w:t xml:space="preserve">What algorithm was used?</w:t>
      </w:r>
    </w:p>
    <w:p w:rsidR="00000000" w:rsidDel="00000000" w:rsidP="00000000" w:rsidRDefault="00000000" w:rsidRPr="00000000" w14:paraId="00000053">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rtl w:val="0"/>
        </w:rPr>
        <w:t xml:space="preserve">Who developed it?</w:t>
      </w:r>
    </w:p>
    <w:p w:rsidR="00000000" w:rsidDel="00000000" w:rsidP="00000000" w:rsidRDefault="00000000" w:rsidRPr="00000000" w14:paraId="00000054">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rtl w:val="0"/>
        </w:rPr>
        <w:t xml:space="preserve">Has it been independently validated?</w:t>
      </w:r>
    </w:p>
    <w:p w:rsidR="00000000" w:rsidDel="00000000" w:rsidP="00000000" w:rsidRDefault="00000000" w:rsidRPr="00000000" w14:paraId="00000055">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rtl w:val="0"/>
        </w:rPr>
        <w:t xml:space="preserve">What is its false-positive rate?</w:t>
      </w:r>
    </w:p>
    <w:p w:rsidR="00000000" w:rsidDel="00000000" w:rsidP="00000000" w:rsidRDefault="00000000" w:rsidRPr="00000000" w14:paraId="00000056">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rtl w:val="0"/>
        </w:rPr>
        <w:t xml:space="preserve">What is its false-negative rate?</w:t>
      </w:r>
    </w:p>
    <w:p w:rsidR="00000000" w:rsidDel="00000000" w:rsidP="00000000" w:rsidRDefault="00000000" w:rsidRPr="00000000" w14:paraId="00000057">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rtl w:val="0"/>
        </w:rPr>
        <w:t xml:space="preserve">Was it trained on material comparable to the disputed evidence?</w:t>
      </w:r>
    </w:p>
    <w:p w:rsidR="00000000" w:rsidDel="00000000" w:rsidP="00000000" w:rsidRDefault="00000000" w:rsidRPr="00000000" w14:paraId="00000058">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rtl w:val="0"/>
        </w:rPr>
        <w:t xml:space="preserve">Can the examination be independently reproduced?</w:t>
      </w:r>
    </w:p>
    <w:p w:rsidR="00000000" w:rsidDel="00000000" w:rsidP="00000000" w:rsidRDefault="00000000" w:rsidRPr="00000000" w14:paraId="00000059">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rtl w:val="0"/>
        </w:rPr>
        <w:t xml:space="preserve">Is the methodology peer-reviewed?</w:t>
      </w:r>
    </w:p>
    <w:p w:rsidR="00000000" w:rsidDel="00000000" w:rsidP="00000000" w:rsidRDefault="00000000" w:rsidRPr="00000000" w14:paraId="0000005A">
      <w:pPr>
        <w:numPr>
          <w:ilvl w:val="0"/>
          <w:numId w:val="4"/>
        </w:numPr>
        <w:spacing w:line="360" w:lineRule="auto"/>
        <w:ind w:left="720" w:hanging="360"/>
        <w:jc w:val="both"/>
        <w:rPr/>
      </w:pPr>
      <w:r w:rsidDel="00000000" w:rsidR="00000000" w:rsidRPr="00000000">
        <w:rPr>
          <w:rFonts w:ascii="Times New Roman" w:cs="Times New Roman" w:eastAsia="Times New Roman" w:hAnsi="Times New Roman"/>
          <w:rtl w:val="0"/>
        </w:rPr>
        <w:t xml:space="preserve">Has the system been tested against compression, resizing and other post-processing?</w:t>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NIST's emerging forensic evaluation work demonstrates the importance of testing deepfake-detection systems for generalisation and robustness rather than relying merely upon laboratory accuracy.</w:t>
      </w:r>
    </w:p>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Expert Evidence</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complexity of synthetic media makes expert assistance increasingly important.</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BSA, expert opinion concerning scientific or technical matters is relevant. Section 39 is particularly significant because it recognises specialised expertise, including expertise relating to computer resources and electronic or digital forms.</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Supreme Court's decision in </w:t>
      </w:r>
      <w:r w:rsidDel="00000000" w:rsidR="00000000" w:rsidRPr="00000000">
        <w:rPr>
          <w:rFonts w:ascii="Times New Roman" w:cs="Times New Roman" w:eastAsia="Times New Roman" w:hAnsi="Times New Roman"/>
          <w:i w:val="1"/>
          <w:iCs w:val="1"/>
          <w:rtl w:val="0"/>
        </w:rPr>
        <w:t xml:space="preserve">Pune Bar Association</w:t>
      </w:r>
      <w:r w:rsidDel="00000000" w:rsidR="00000000" w:rsidRPr="00000000">
        <w:rPr>
          <w:rFonts w:ascii="Times New Roman" w:cs="Times New Roman" w:eastAsia="Times New Roman" w:hAnsi="Times New Roman"/>
          <w:rtl w:val="0"/>
        </w:rPr>
        <w:t xml:space="preserve"> also clarified that the question of who may qualify to provide the relevant expertise should not automatically be restricted to persons notified under Section 79A of the Information Technology Act; the Court recognised the broader relevance of persons possessing special skill and expertise, while leaving the precise legal question open.</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preferable approach is therefore to examine the actual competence of the expert, including qualifications, experience, methodology and ability to explain the conclusion, rather than treating an expert's conclusion as self-proving.</w:t>
      </w:r>
    </w:p>
    <w:p w:rsidR="00000000" w:rsidDel="00000000" w:rsidP="00000000" w:rsidRDefault="00000000" w:rsidRPr="00000000" w14:paraId="0000006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Independent Corroboration</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deepfake evidence is disputed, courts should examine whether independent evidence supports the event allegedly depicted.</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 video allegedly showing the accused at a particular location may be assessed alongside:</w:t>
      </w:r>
    </w:p>
    <w:p w:rsidR="00000000" w:rsidDel="00000000" w:rsidP="00000000" w:rsidRDefault="00000000" w:rsidRPr="00000000" w14:paraId="00000064">
      <w:pPr>
        <w:numPr>
          <w:ilvl w:val="0"/>
          <w:numId w:val="5"/>
        </w:numPr>
        <w:spacing w:line="360" w:lineRule="auto"/>
        <w:ind w:left="720" w:hanging="360"/>
        <w:jc w:val="both"/>
        <w:rPr/>
      </w:pPr>
      <w:r w:rsidDel="00000000" w:rsidR="00000000" w:rsidRPr="00000000">
        <w:rPr>
          <w:rFonts w:ascii="Times New Roman" w:cs="Times New Roman" w:eastAsia="Times New Roman" w:hAnsi="Times New Roman"/>
          <w:rtl w:val="0"/>
        </w:rPr>
        <w:t xml:space="preserve">CCTV from another camera;</w:t>
      </w:r>
    </w:p>
    <w:p w:rsidR="00000000" w:rsidDel="00000000" w:rsidP="00000000" w:rsidRDefault="00000000" w:rsidRPr="00000000" w14:paraId="00000065">
      <w:pPr>
        <w:numPr>
          <w:ilvl w:val="0"/>
          <w:numId w:val="5"/>
        </w:numPr>
        <w:spacing w:line="360" w:lineRule="auto"/>
        <w:ind w:left="720" w:hanging="360"/>
        <w:jc w:val="both"/>
        <w:rPr/>
      </w:pPr>
      <w:r w:rsidDel="00000000" w:rsidR="00000000" w:rsidRPr="00000000">
        <w:rPr>
          <w:rFonts w:ascii="Times New Roman" w:cs="Times New Roman" w:eastAsia="Times New Roman" w:hAnsi="Times New Roman"/>
          <w:rtl w:val="0"/>
        </w:rPr>
        <w:t xml:space="preserve">mobile-location evidence;</w:t>
      </w:r>
    </w:p>
    <w:p w:rsidR="00000000" w:rsidDel="00000000" w:rsidP="00000000" w:rsidRDefault="00000000" w:rsidRPr="00000000" w14:paraId="00000066">
      <w:pPr>
        <w:numPr>
          <w:ilvl w:val="0"/>
          <w:numId w:val="5"/>
        </w:numPr>
        <w:spacing w:line="360" w:lineRule="auto"/>
        <w:ind w:left="720" w:hanging="360"/>
        <w:jc w:val="both"/>
        <w:rPr/>
      </w:pPr>
      <w:r w:rsidDel="00000000" w:rsidR="00000000" w:rsidRPr="00000000">
        <w:rPr>
          <w:rFonts w:ascii="Times New Roman" w:cs="Times New Roman" w:eastAsia="Times New Roman" w:hAnsi="Times New Roman"/>
          <w:rtl w:val="0"/>
        </w:rPr>
        <w:t xml:space="preserve">call records;</w:t>
      </w:r>
    </w:p>
    <w:p w:rsidR="00000000" w:rsidDel="00000000" w:rsidP="00000000" w:rsidRDefault="00000000" w:rsidRPr="00000000" w14:paraId="00000067">
      <w:pPr>
        <w:numPr>
          <w:ilvl w:val="0"/>
          <w:numId w:val="5"/>
        </w:numPr>
        <w:spacing w:line="360" w:lineRule="auto"/>
        <w:ind w:left="720" w:hanging="360"/>
        <w:jc w:val="both"/>
        <w:rPr/>
      </w:pPr>
      <w:r w:rsidDel="00000000" w:rsidR="00000000" w:rsidRPr="00000000">
        <w:rPr>
          <w:rFonts w:ascii="Times New Roman" w:cs="Times New Roman" w:eastAsia="Times New Roman" w:hAnsi="Times New Roman"/>
          <w:rtl w:val="0"/>
        </w:rPr>
        <w:t xml:space="preserve">eyewitness testimony;</w:t>
      </w:r>
    </w:p>
    <w:p w:rsidR="00000000" w:rsidDel="00000000" w:rsidP="00000000" w:rsidRDefault="00000000" w:rsidRPr="00000000" w14:paraId="00000068">
      <w:pPr>
        <w:numPr>
          <w:ilvl w:val="0"/>
          <w:numId w:val="5"/>
        </w:numPr>
        <w:spacing w:line="360" w:lineRule="auto"/>
        <w:ind w:left="720" w:hanging="360"/>
        <w:jc w:val="both"/>
        <w:rPr/>
      </w:pPr>
      <w:r w:rsidDel="00000000" w:rsidR="00000000" w:rsidRPr="00000000">
        <w:rPr>
          <w:rFonts w:ascii="Times New Roman" w:cs="Times New Roman" w:eastAsia="Times New Roman" w:hAnsi="Times New Roman"/>
          <w:rtl w:val="0"/>
        </w:rPr>
        <w:t xml:space="preserve">financial transactions;</w:t>
      </w:r>
    </w:p>
    <w:p w:rsidR="00000000" w:rsidDel="00000000" w:rsidP="00000000" w:rsidRDefault="00000000" w:rsidRPr="00000000" w14:paraId="00000069">
      <w:pPr>
        <w:numPr>
          <w:ilvl w:val="0"/>
          <w:numId w:val="5"/>
        </w:numPr>
        <w:spacing w:line="360" w:lineRule="auto"/>
        <w:ind w:left="720" w:hanging="360"/>
        <w:jc w:val="both"/>
        <w:rPr/>
      </w:pPr>
      <w:r w:rsidDel="00000000" w:rsidR="00000000" w:rsidRPr="00000000">
        <w:rPr>
          <w:rFonts w:ascii="Times New Roman" w:cs="Times New Roman" w:eastAsia="Times New Roman" w:hAnsi="Times New Roman"/>
          <w:rtl w:val="0"/>
        </w:rPr>
        <w:t xml:space="preserve">contemporaneous messages;</w:t>
      </w:r>
    </w:p>
    <w:p w:rsidR="00000000" w:rsidDel="00000000" w:rsidP="00000000" w:rsidRDefault="00000000" w:rsidRPr="00000000" w14:paraId="0000006A">
      <w:pPr>
        <w:numPr>
          <w:ilvl w:val="0"/>
          <w:numId w:val="5"/>
        </w:numPr>
        <w:spacing w:line="360" w:lineRule="auto"/>
        <w:ind w:left="720" w:hanging="360"/>
        <w:jc w:val="both"/>
        <w:rPr/>
      </w:pPr>
      <w:r w:rsidDel="00000000" w:rsidR="00000000" w:rsidRPr="00000000">
        <w:rPr>
          <w:rFonts w:ascii="Times New Roman" w:cs="Times New Roman" w:eastAsia="Times New Roman" w:hAnsi="Times New Roman"/>
          <w:rtl w:val="0"/>
        </w:rPr>
        <w:t xml:space="preserve">physical evidence;</w:t>
      </w:r>
    </w:p>
    <w:p w:rsidR="00000000" w:rsidDel="00000000" w:rsidP="00000000" w:rsidRDefault="00000000" w:rsidRPr="00000000" w14:paraId="0000006B">
      <w:pPr>
        <w:numPr>
          <w:ilvl w:val="0"/>
          <w:numId w:val="5"/>
        </w:numPr>
        <w:spacing w:line="360" w:lineRule="auto"/>
        <w:ind w:left="720" w:hanging="360"/>
        <w:jc w:val="both"/>
        <w:rPr/>
      </w:pPr>
      <w:r w:rsidDel="00000000" w:rsidR="00000000" w:rsidRPr="00000000">
        <w:rPr>
          <w:rFonts w:ascii="Times New Roman" w:cs="Times New Roman" w:eastAsia="Times New Roman" w:hAnsi="Times New Roman"/>
          <w:rtl w:val="0"/>
        </w:rPr>
        <w:t xml:space="preserve">device data; or</w:t>
      </w:r>
    </w:p>
    <w:p w:rsidR="00000000" w:rsidDel="00000000" w:rsidP="00000000" w:rsidRDefault="00000000" w:rsidRPr="00000000" w14:paraId="0000006C">
      <w:pPr>
        <w:numPr>
          <w:ilvl w:val="0"/>
          <w:numId w:val="5"/>
        </w:numPr>
        <w:spacing w:line="360" w:lineRule="auto"/>
        <w:ind w:left="720" w:hanging="360"/>
        <w:jc w:val="both"/>
        <w:rPr/>
      </w:pPr>
      <w:r w:rsidDel="00000000" w:rsidR="00000000" w:rsidRPr="00000000">
        <w:rPr>
          <w:rFonts w:ascii="Times New Roman" w:cs="Times New Roman" w:eastAsia="Times New Roman" w:hAnsi="Times New Roman"/>
          <w:rtl w:val="0"/>
        </w:rPr>
        <w:t xml:space="preserve">other independently obtained recordings.</w:t>
      </w:r>
    </w:p>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Corroboration is especially valuable because deepfake detection technology itself is not immune from error.</w:t>
      </w:r>
    </w:p>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Admissibility Should Be Distinguished from Evidentiary Weight</w:t>
      </w:r>
    </w:p>
    <w:p w:rsidR="00000000" w:rsidDel="00000000" w:rsidP="00000000" w:rsidRDefault="00000000" w:rsidRPr="00000000" w14:paraId="000000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important doctrinal distinctions is between </w:t>
      </w:r>
      <w:r w:rsidDel="00000000" w:rsidR="00000000" w:rsidRPr="00000000">
        <w:rPr>
          <w:rFonts w:ascii="Times New Roman" w:cs="Times New Roman" w:eastAsia="Times New Roman" w:hAnsi="Times New Roman"/>
          <w:b w:val="1"/>
          <w:bCs w:val="1"/>
          <w:rtl w:val="0"/>
        </w:rPr>
        <w:t xml:space="preserve">admissibility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probative value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digital recording may satisfy the statutory requirements for admission but still deserve limited evidentiary weight if substantial questions concerning its substantive authenticity remain.</w:t>
      </w:r>
    </w:p>
    <w:p w:rsidR="00000000" w:rsidDel="00000000" w:rsidP="00000000" w:rsidRDefault="00000000" w:rsidRPr="00000000" w14:paraId="000000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analytical sequence should therefore be:</w:t>
      </w:r>
    </w:p>
    <w:p w:rsidR="00000000" w:rsidDel="00000000" w:rsidP="00000000" w:rsidRDefault="00000000" w:rsidRPr="00000000" w14:paraId="000000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Admissibility → Integrity → Authenticity → Reliability → Attribution → Probative Weight.</w:t>
      </w: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prevents the statutory certificate from becoming a substitute for substantive examination.</w:t>
      </w:r>
    </w:p>
    <w:p w:rsidR="00000000" w:rsidDel="00000000" w:rsidP="00000000" w:rsidRDefault="00000000" w:rsidRPr="00000000" w14:paraId="000000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Section 63 certificate can establish important facts concerning the electronic record and its production. It should not automatically answer the separate factual question of whether the recording accurately depicts the event alleged by the prosecution.</w:t>
      </w:r>
    </w:p>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 Comparative Perspective</w:t>
      </w:r>
    </w:p>
    <w:p w:rsidR="00000000" w:rsidDel="00000000" w:rsidP="00000000" w:rsidRDefault="00000000" w:rsidRPr="00000000" w14:paraId="000000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evidence law offers useful guidance.</w:t>
      </w:r>
    </w:p>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United States Federal Rule of Evidence 901, the proponent must produce evidence sufficient to support a finding that the item is what the proponent claims it to be. The rule provides several illustrative methods of authentication, including witness testimony, expert comparison and distinctive characteristics.</w:t>
      </w:r>
    </w:p>
    <w:p w:rsidR="00000000" w:rsidDel="00000000" w:rsidP="00000000" w:rsidRDefault="00000000" w:rsidRPr="00000000" w14:paraId="000000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Rule of Evidence 902 also recognises self-authentication mechanisms for certain electronic evidence and permits certification based on methods such as hash-value comparison. Importantly, such authentication does not automatically resolve other evidentiary objections.</w:t>
      </w:r>
    </w:p>
    <w:p w:rsidR="00000000" w:rsidDel="00000000" w:rsidP="00000000" w:rsidRDefault="00000000" w:rsidRPr="00000000" w14:paraId="000000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European Union has taken a different but complementary approach by focusing increasingly on transparency concerning synthetic content. The broader regulatory trend demonstrates that provenance and disclosure can supplement traditional evidentiary safeguards.</w:t>
      </w:r>
    </w:p>
    <w:p w:rsidR="00000000" w:rsidDel="00000000" w:rsidP="00000000" w:rsidRDefault="00000000" w:rsidRPr="00000000" w14:paraId="000000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India, the lesson is not that another jurisdiction's model should simply be transplanted. Rather, Indian evidence law can incorporate the underlying principle that technical authentication and substantive reliability are distinct inquiries.</w:t>
      </w:r>
    </w:p>
    <w:p w:rsidR="00000000" w:rsidDel="00000000" w:rsidP="00000000" w:rsidRDefault="00000000" w:rsidRPr="00000000" w14:paraId="0000007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VIII. A Proposed Judicial Deepfake Reliability Test</w:t>
      </w:r>
    </w:p>
    <w:p w:rsidR="00000000" w:rsidDel="00000000" w:rsidP="00000000" w:rsidRDefault="00000000" w:rsidRPr="00000000" w14:paraId="000000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relying substantially upon disputed AI-generated media in a criminal trial, courts could consider the following questions:</w:t>
      </w:r>
    </w:p>
    <w:p w:rsidR="00000000" w:rsidDel="00000000" w:rsidP="00000000" w:rsidRDefault="00000000" w:rsidRPr="00000000" w14:paraId="000000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 - Source:</w:t>
      </w:r>
      <w:r w:rsidDel="00000000" w:rsidR="00000000" w:rsidRPr="00000000">
        <w:rPr>
          <w:rFonts w:ascii="Times New Roman" w:cs="Times New Roman" w:eastAsia="Times New Roman" w:hAnsi="Times New Roman"/>
          <w:rtl w:val="0"/>
        </w:rPr>
        <w:t xml:space="preserve"> Where did the recording originate?</w:t>
      </w:r>
    </w:p>
    <w:p w:rsidR="00000000" w:rsidDel="00000000" w:rsidP="00000000" w:rsidRDefault="00000000" w:rsidRPr="00000000" w14:paraId="000000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 - Integrity:</w:t>
      </w:r>
      <w:r w:rsidDel="00000000" w:rsidR="00000000" w:rsidRPr="00000000">
        <w:rPr>
          <w:rFonts w:ascii="Times New Roman" w:cs="Times New Roman" w:eastAsia="Times New Roman" w:hAnsi="Times New Roman"/>
          <w:rtl w:val="0"/>
        </w:rPr>
        <w:t xml:space="preserve"> Has the file remained unchanged since acquisition?</w:t>
      </w:r>
    </w:p>
    <w:p w:rsidR="00000000" w:rsidDel="00000000" w:rsidP="00000000" w:rsidRDefault="00000000" w:rsidRPr="00000000" w14:paraId="000000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Third - Provenance:</w:t>
      </w:r>
      <w:r w:rsidDel="00000000" w:rsidR="00000000" w:rsidRPr="00000000">
        <w:rPr>
          <w:rFonts w:ascii="Times New Roman" w:cs="Times New Roman" w:eastAsia="Times New Roman" w:hAnsi="Times New Roman"/>
          <w:rtl w:val="0"/>
        </w:rPr>
        <w:t xml:space="preserve"> Can its creation and transmission history be established?</w:t>
      </w:r>
    </w:p>
    <w:p w:rsidR="00000000" w:rsidDel="00000000" w:rsidP="00000000" w:rsidRDefault="00000000" w:rsidRPr="00000000" w14:paraId="000000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Fourth - Authenticity:</w:t>
      </w:r>
      <w:r w:rsidDel="00000000" w:rsidR="00000000" w:rsidRPr="00000000">
        <w:rPr>
          <w:rFonts w:ascii="Times New Roman" w:cs="Times New Roman" w:eastAsia="Times New Roman" w:hAnsi="Times New Roman"/>
          <w:rtl w:val="0"/>
        </w:rPr>
        <w:t xml:space="preserve"> Is there forensic evidence indicating whether the content was generated or manipulated?</w:t>
      </w:r>
    </w:p>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Fifth - Methodology:</w:t>
      </w:r>
      <w:r w:rsidDel="00000000" w:rsidR="00000000" w:rsidRPr="00000000">
        <w:rPr>
          <w:rFonts w:ascii="Times New Roman" w:cs="Times New Roman" w:eastAsia="Times New Roman" w:hAnsi="Times New Roman"/>
          <w:rtl w:val="0"/>
        </w:rPr>
        <w:t xml:space="preserve"> Are the forensic tools and methods scientifically validated and sufficiently transparent?</w:t>
      </w:r>
    </w:p>
    <w:p w:rsidR="00000000" w:rsidDel="00000000" w:rsidP="00000000" w:rsidRDefault="00000000" w:rsidRPr="00000000" w14:paraId="0000008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Sixth - Expertise:</w:t>
      </w:r>
      <w:r w:rsidDel="00000000" w:rsidR="00000000" w:rsidRPr="00000000">
        <w:rPr>
          <w:rFonts w:ascii="Times New Roman" w:cs="Times New Roman" w:eastAsia="Times New Roman" w:hAnsi="Times New Roman"/>
          <w:rtl w:val="0"/>
        </w:rPr>
        <w:t xml:space="preserve"> Does the examiner possess relevant and demonstrable technical expertise?</w:t>
      </w:r>
    </w:p>
    <w:p w:rsidR="00000000" w:rsidDel="00000000" w:rsidP="00000000" w:rsidRDefault="00000000" w:rsidRPr="00000000" w14:paraId="000000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Seventh - Attribution:</w:t>
      </w:r>
      <w:r w:rsidDel="00000000" w:rsidR="00000000" w:rsidRPr="00000000">
        <w:rPr>
          <w:rFonts w:ascii="Times New Roman" w:cs="Times New Roman" w:eastAsia="Times New Roman" w:hAnsi="Times New Roman"/>
          <w:rtl w:val="0"/>
        </w:rPr>
        <w:t xml:space="preserve"> Can the persons, voices, devices or events depicted be independently attributed?</w:t>
      </w:r>
    </w:p>
    <w:p w:rsidR="00000000" w:rsidDel="00000000" w:rsidP="00000000" w:rsidRDefault="00000000" w:rsidRPr="00000000" w14:paraId="000000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Eighth - Corroboration:</w:t>
      </w:r>
      <w:r w:rsidDel="00000000" w:rsidR="00000000" w:rsidRPr="00000000">
        <w:rPr>
          <w:rFonts w:ascii="Times New Roman" w:cs="Times New Roman" w:eastAsia="Times New Roman" w:hAnsi="Times New Roman"/>
          <w:rtl w:val="0"/>
        </w:rPr>
        <w:t xml:space="preserve"> Is the content supported by independent evidence?</w:t>
      </w:r>
    </w:p>
    <w:p w:rsidR="00000000" w:rsidDel="00000000" w:rsidP="00000000" w:rsidRDefault="00000000" w:rsidRPr="00000000" w14:paraId="000000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Ninth - Alternative Explanation:</w:t>
      </w:r>
      <w:r w:rsidDel="00000000" w:rsidR="00000000" w:rsidRPr="00000000">
        <w:rPr>
          <w:rFonts w:ascii="Times New Roman" w:cs="Times New Roman" w:eastAsia="Times New Roman" w:hAnsi="Times New Roman"/>
          <w:rtl w:val="0"/>
        </w:rPr>
        <w:t xml:space="preserve"> Is there a plausible explanation other than the prosecution's interpretation of the recording?</w:t>
      </w:r>
    </w:p>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Tenth - Overall Reliability:</w:t>
      </w:r>
      <w:r w:rsidDel="00000000" w:rsidR="00000000" w:rsidRPr="00000000">
        <w:rPr>
          <w:rFonts w:ascii="Times New Roman" w:cs="Times New Roman" w:eastAsia="Times New Roman" w:hAnsi="Times New Roman"/>
          <w:rtl w:val="0"/>
        </w:rPr>
        <w:t xml:space="preserve"> Considering all circumstances, what evidentiary weight should the court attach to the material?</w:t>
      </w:r>
    </w:p>
    <w:p w:rsidR="00000000" w:rsidDel="00000000" w:rsidP="00000000" w:rsidRDefault="00000000" w:rsidRPr="00000000" w14:paraId="000000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framework would prevent courts from treating deepfake detection as a binary technological exercise.</w:t>
      </w:r>
    </w:p>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IX. Conclusion</w:t>
      </w:r>
    </w:p>
    <w:p w:rsidR="00000000" w:rsidDel="00000000" w:rsidP="00000000" w:rsidRDefault="00000000" w:rsidRPr="00000000" w14:paraId="000000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emergence of deepfakes requires criminal evidence law to move beyond the assumption that digital media is inherently objective. The central evidentiary question is no longer simply whether a digital file is genuine in the sense of being unchanged. Courts must also ask whether the content itself is authentic, attributable and sufficiently reliable to support a finding against an accused.</w:t>
      </w:r>
    </w:p>
    <w:p w:rsidR="00000000" w:rsidDel="00000000" w:rsidP="00000000" w:rsidRDefault="00000000" w:rsidRPr="00000000" w14:paraId="000000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India's BSA represents an important development by strengthening the statutory architecture surrounding electronic evidence. The Supreme Court's decision in </w:t>
      </w:r>
      <w:r w:rsidDel="00000000" w:rsidR="00000000" w:rsidRPr="00000000">
        <w:rPr>
          <w:rFonts w:ascii="Times New Roman" w:cs="Times New Roman" w:eastAsia="Times New Roman" w:hAnsi="Times New Roman"/>
          <w:i w:val="1"/>
          <w:iCs w:val="1"/>
          <w:rtl w:val="0"/>
        </w:rPr>
        <w:t xml:space="preserve">Pune Bar Association v. Union of India</w:t>
      </w:r>
      <w:r w:rsidDel="00000000" w:rsidR="00000000" w:rsidRPr="00000000">
        <w:rPr>
          <w:rFonts w:ascii="Times New Roman" w:cs="Times New Roman" w:eastAsia="Times New Roman" w:hAnsi="Times New Roman"/>
          <w:rtl w:val="0"/>
        </w:rPr>
        <w:t xml:space="preserve"> further demonstrates the judiciary's recognition that electronic evidence must be protected against manipulation in an environment increasingly shaped by AI and deepfakes.</w:t>
      </w:r>
    </w:p>
    <w:p w:rsidR="00000000" w:rsidDel="00000000" w:rsidP="00000000" w:rsidRDefault="00000000" w:rsidRPr="00000000" w14:paraId="000000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hash values, certificates and chain-of-custody documentation cannot independently establish that a synthetic recording depicts a real event. The future of digital evidence therefore requires a layered model combining legal authentication with forensic examination, expert scrutiny, provenance analysis and independent corroboration.</w:t>
      </w:r>
    </w:p>
    <w:p w:rsidR="00000000" w:rsidDel="00000000" w:rsidP="00000000" w:rsidRDefault="00000000" w:rsidRPr="00000000" w14:paraId="000000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ultimate objective should not be to make courts technologically dependent. Rather, technology should assist courts in making legally informed judgments about reliability. In criminal proceedings, where the consequences of erroneous findings are particularly severe, “technically authentic” must never be confused with “factually true.” The law must preserve that distinction if digital evidence is to remain a trustworthy instrument of justice in the age of generative artificial intelligence.</w:t>
      </w:r>
    </w:p>
    <w:p w:rsidR="00000000" w:rsidDel="00000000" w:rsidP="00000000" w:rsidRDefault="00000000" w:rsidRPr="00000000" w14:paraId="0000008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8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Statutes and Regulations</w:t>
      </w:r>
    </w:p>
    <w:p w:rsidR="00000000" w:rsidDel="00000000" w:rsidP="00000000" w:rsidRDefault="00000000" w:rsidRPr="00000000" w14:paraId="00000090">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Bharatiya Sakshya Adhiniyam, 2023</w:t>
      </w:r>
      <w:r w:rsidDel="00000000" w:rsidR="00000000" w:rsidRPr="00000000">
        <w:rPr>
          <w:rFonts w:ascii="Times New Roman" w:cs="Times New Roman" w:eastAsia="Times New Roman" w:hAnsi="Times New Roman"/>
          <w:rtl w:val="0"/>
        </w:rPr>
        <w:t xml:space="preserve">, Sec 39, 61–63, Government of India.</w:t>
      </w:r>
    </w:p>
    <w:p w:rsidR="00000000" w:rsidDel="00000000" w:rsidP="00000000" w:rsidRDefault="00000000" w:rsidRPr="00000000" w14:paraId="00000091">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Information Technology Act, 2000</w:t>
      </w:r>
      <w:r w:rsidDel="00000000" w:rsidR="00000000" w:rsidRPr="00000000">
        <w:rPr>
          <w:rFonts w:ascii="Times New Roman" w:cs="Times New Roman" w:eastAsia="Times New Roman" w:hAnsi="Times New Roman"/>
          <w:rtl w:val="0"/>
        </w:rPr>
        <w:t xml:space="preserve">, Sec 79A.</w:t>
      </w:r>
    </w:p>
    <w:p w:rsidR="00000000" w:rsidDel="00000000" w:rsidP="00000000" w:rsidRDefault="00000000" w:rsidRPr="00000000" w14:paraId="00000092">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Indian Evidence Act, 1872</w:t>
      </w:r>
      <w:r w:rsidDel="00000000" w:rsidR="00000000" w:rsidRPr="00000000">
        <w:rPr>
          <w:rFonts w:ascii="Times New Roman" w:cs="Times New Roman" w:eastAsia="Times New Roman" w:hAnsi="Times New Roman"/>
          <w:rtl w:val="0"/>
        </w:rPr>
        <w:t xml:space="preserve">, Sec 65B (relevant to the development of Indian electronic-evidence jurisprudence).</w:t>
      </w:r>
    </w:p>
    <w:p w:rsidR="00000000" w:rsidDel="00000000" w:rsidP="00000000" w:rsidRDefault="00000000" w:rsidRPr="00000000" w14:paraId="00000093">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Federal Rules of Evidence</w:t>
      </w:r>
      <w:r w:rsidDel="00000000" w:rsidR="00000000" w:rsidRPr="00000000">
        <w:rPr>
          <w:rFonts w:ascii="Times New Roman" w:cs="Times New Roman" w:eastAsia="Times New Roman" w:hAnsi="Times New Roman"/>
          <w:rtl w:val="0"/>
        </w:rPr>
        <w:t xml:space="preserve">, Rules 901 and 902, United States.</w:t>
      </w:r>
    </w:p>
    <w:p w:rsidR="00000000" w:rsidDel="00000000" w:rsidP="00000000" w:rsidRDefault="00000000" w:rsidRPr="00000000" w14:paraId="0000009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Indian Judicial Decisions</w:t>
      </w:r>
    </w:p>
    <w:p w:rsidR="00000000" w:rsidDel="00000000" w:rsidP="00000000" w:rsidRDefault="00000000" w:rsidRPr="00000000" w14:paraId="00000095">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Anvar P.V. v. P.K. Basheer</w:t>
      </w:r>
      <w:r w:rsidDel="00000000" w:rsidR="00000000" w:rsidRPr="00000000">
        <w:rPr>
          <w:rFonts w:ascii="Times New Roman" w:cs="Times New Roman" w:eastAsia="Times New Roman" w:hAnsi="Times New Roman"/>
          <w:rtl w:val="0"/>
        </w:rPr>
        <w:t xml:space="preserve">, (2014) 10 SCC 473.</w:t>
      </w:r>
    </w:p>
    <w:p w:rsidR="00000000" w:rsidDel="00000000" w:rsidP="00000000" w:rsidRDefault="00000000" w:rsidRPr="00000000" w14:paraId="00000096">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Arjun Panditrao Khotkar v. Kailash Kushanrao Gorantyal</w:t>
      </w:r>
      <w:r w:rsidDel="00000000" w:rsidR="00000000" w:rsidRPr="00000000">
        <w:rPr>
          <w:rFonts w:ascii="Times New Roman" w:cs="Times New Roman" w:eastAsia="Times New Roman" w:hAnsi="Times New Roman"/>
          <w:rtl w:val="0"/>
        </w:rPr>
        <w:t xml:space="preserve">, (2020) 7 SCC 1.</w:t>
      </w:r>
    </w:p>
    <w:p w:rsidR="00000000" w:rsidDel="00000000" w:rsidP="00000000" w:rsidRDefault="00000000" w:rsidRPr="00000000" w14:paraId="00000097">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Pune Bar Association v. Union of India</w:t>
      </w:r>
      <w:r w:rsidDel="00000000" w:rsidR="00000000" w:rsidRPr="00000000">
        <w:rPr>
          <w:rFonts w:ascii="Times New Roman" w:cs="Times New Roman" w:eastAsia="Times New Roman" w:hAnsi="Times New Roman"/>
          <w:rtl w:val="0"/>
        </w:rPr>
        <w:t xml:space="preserve">, W.P. (C) No. 599 of 2026, order dated 22 May 2026.</w:t>
      </w:r>
    </w:p>
    <w:p w:rsidR="00000000" w:rsidDel="00000000" w:rsidP="00000000" w:rsidRDefault="00000000" w:rsidRPr="00000000" w14:paraId="00000098">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State (NCT of Delhi) v. Navjot Sandhu</w:t>
      </w:r>
      <w:r w:rsidDel="00000000" w:rsidR="00000000" w:rsidRPr="00000000">
        <w:rPr>
          <w:rFonts w:ascii="Times New Roman" w:cs="Times New Roman" w:eastAsia="Times New Roman" w:hAnsi="Times New Roman"/>
          <w:rtl w:val="0"/>
        </w:rPr>
        <w:t xml:space="preserve">, (2005) 11 SCC 600, subsequently overruled on the relevant Section 65B issue by </w:t>
      </w:r>
      <w:r w:rsidDel="00000000" w:rsidR="00000000" w:rsidRPr="00000000">
        <w:rPr>
          <w:rFonts w:ascii="Times New Roman" w:cs="Times New Roman" w:eastAsia="Times New Roman" w:hAnsi="Times New Roman"/>
          <w:i w:val="1"/>
          <w:iCs w:val="1"/>
          <w:rtl w:val="0"/>
        </w:rPr>
        <w:t xml:space="preserve">Anvar P.V.</w:t>
      </w: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Technical and Institutional Sources</w:t>
      </w:r>
    </w:p>
    <w:p w:rsidR="00000000" w:rsidDel="00000000" w:rsidP="00000000" w:rsidRDefault="00000000" w:rsidRPr="00000000" w14:paraId="0000009A">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Haiying Guan, James Horan &amp; Andrew Zhang, “Guardians of Forensic Evidence: Evaluating Analytic Systems Against AI-Generated Deepfakes,” NIST, 2025.</w:t>
      </w:r>
    </w:p>
    <w:p w:rsidR="00000000" w:rsidDel="00000000" w:rsidP="00000000" w:rsidRDefault="00000000" w:rsidRPr="00000000" w14:paraId="0000009B">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Bilva Chandra et al., NIST AI 100-4: Reducing Risks Posed by Synthetic Content: An Overview of Technical Approaches to Digital Content Transparency, National Institute of Standards and Technology, 2024.</w:t>
      </w:r>
    </w:p>
    <w:p w:rsidR="00000000" w:rsidDel="00000000" w:rsidP="00000000" w:rsidRDefault="00000000" w:rsidRPr="00000000" w14:paraId="0000009C">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Institute of Standards and Technology, Special Publication 800-63A: Identity Proofing Requirements, discussing digital injection attacks, manipulated media, false-positive/false-negative testing and human review.</w:t>
      </w:r>
    </w:p>
    <w:p w:rsidR="00000000" w:rsidDel="00000000" w:rsidP="00000000" w:rsidRDefault="00000000" w:rsidRPr="00000000" w14:paraId="0000009D">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Institute of Standards and Technology, “Is This a Deepfake?”, discussion of provenance, authentication and synthetic media.</w:t>
      </w:r>
    </w:p>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Selected Secondary Literature</w:t>
      </w:r>
    </w:p>
    <w:p w:rsidR="00000000" w:rsidDel="00000000" w:rsidP="00000000" w:rsidRDefault="00000000" w:rsidRPr="00000000" w14:paraId="0000009F">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Rishita Singh, “Deepfake Evidence and Criminal Trials - Challenges to Justice in the AI Era,” Journal of Legal Research and Policy, Vol. 1, Issue 1 (2025).</w:t>
      </w:r>
    </w:p>
    <w:p w:rsidR="00000000" w:rsidDel="00000000" w:rsidP="00000000" w:rsidRDefault="00000000" w:rsidRPr="00000000" w14:paraId="000000A0">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Dhanu &amp; Sugith Kumar, “Deepfake Detection as Forensic Evidence: Minimum Technical Standards and Admissibility Tests in Court,” Indian Journal of Legal Review, Vol. 6, Issue 3 (2026), pp. 684-701.</w:t>
      </w:r>
    </w:p>
    <w:p w:rsidR="00000000" w:rsidDel="00000000" w:rsidP="00000000" w:rsidRDefault="00000000" w:rsidRPr="00000000" w14:paraId="000000A1">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Pooja Kisan Bhosale, Mannalal R. Pandiya &amp; Vijay Sahadeo Chavan, “Deepfakes and False Digital Evidence in Indian Courts,” International Journal of Law, Vol. 12, Issue 1 (2026), pp. 378-382.</w:t>
      </w:r>
    </w:p>
    <w:p w:rsidR="00000000" w:rsidDel="00000000" w:rsidP="00000000" w:rsidRDefault="00000000" w:rsidRPr="00000000" w14:paraId="000000A2">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Vishnu Vardhan G. &amp; Mahizhnan C., “Deepfakes and Digital Evidence: A New Test for Indian Courts,” Indian Journal of Advanced Legal Research, Vol. 6, Issue 2 (2026).</w:t>
      </w:r>
    </w:p>
    <w:p w:rsidR="00000000" w:rsidDel="00000000" w:rsidP="00000000" w:rsidRDefault="00000000" w:rsidRPr="00000000" w14:paraId="000000A3">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360" w:lineRule="auto"/>
        <w:ind w:left="72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BY,</w:t>
      </w:r>
    </w:p>
    <w:p w:rsidR="00000000" w:rsidDel="00000000" w:rsidP="00000000" w:rsidRDefault="00000000" w:rsidRPr="00000000" w14:paraId="000000A6">
      <w:pPr>
        <w:spacing w:line="360" w:lineRule="auto"/>
        <w:ind w:left="72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MOHAN BARATH OSS</w:t>
      </w:r>
    </w:p>
    <w:p w:rsidR="00000000" w:rsidDel="00000000" w:rsidP="00000000" w:rsidRDefault="00000000" w:rsidRPr="00000000" w14:paraId="000000A7">
      <w:pPr>
        <w:spacing w:line="360" w:lineRule="auto"/>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