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D28D9"/>
          <w:sz w:val="44"/>
          <w:szCs w:val="44"/>
        </w:rPr>
        <w:t xml:space="preserve">ORBIT</w:t>
      </w:r>
    </w:p>
    <w:p>
      <w:pPr>
        <w:spacing w:after="240"/>
      </w:pPr>
      <w:r>
        <w:rPr>
          <w:b/>
          <w:bCs/>
          <w:color w:val="18181B"/>
          <w:sz w:val="28"/>
          <w:szCs w:val="28"/>
        </w:rPr>
        <w:t xml:space="preserve">MUJ Pre-Incubation &amp; Start-Up Policy — Risk &amp; Opportunity Analysis</w:t>
      </w:r>
    </w:p>
    <w:p>
      <w:pPr>
        <w:spacing w:after="160" w:line="280"/>
      </w:pPr>
      <w:r>
        <w:rPr>
          <w:i/>
          <w:iCs/>
          <w:color w:val="52525B"/>
          <w:sz w:val="20"/>
          <w:szCs w:val="20"/>
        </w:rPr>
        <w:t xml:space="preserve">Analysis of Manipal University Jaipur's official Pre-Incubation and Start-Up Policy (Ref: MUJ/REGR/1403/835/2025, notified 28 October 2025, in force for 2 years) as it applies specifically to Orbit. Based on a full read of the 8-page policy document; the separate financial-support agreement referenced in the policy was not available for review and should be checked before signing anything.</w:t>
      </w:r>
    </w:p>
    <w:p>
      <w:pPr>
        <w:pStyle w:val="Heading1"/>
        <w:pBdr>
          <w:bottom w:val="single" w:color="6D28D9" w:sz="6" w:space="4"/>
        </w:pBdr>
        <w:spacing w:after="160" w:before="360"/>
      </w:pPr>
      <w:r>
        <w:rPr>
          <w:b/>
          <w:bCs/>
          <w:color w:val="18181B"/>
          <w:sz w:val="28"/>
          <w:szCs w:val="28"/>
        </w:rPr>
        <w:t xml:space="preserve">1. What this policy is</w:t>
      </w:r>
    </w:p>
    <w:p>
      <w:pPr>
        <w:spacing w:after="160" w:line="300"/>
      </w:pPr>
      <w:r>
        <w:rPr>
          <w:color w:val="18181B"/>
          <w:sz w:val="21"/>
          <w:szCs w:val="21"/>
        </w:rPr>
        <w:t xml:space="preserve">MUJ's Pre-Incubation and Start-Up Policy is a formal, mandatory framework (“adherence... without any deviation is strictly mandatory”) governing how registered students and alumni can get institutional support for turning an idea into a company. It runs in two stages: Pre-Incubation (idea presented to a review committee, certified within 10 working days) and Start-Up registration (formal company/DPIIT registration), with Pre-Incubation certification being a mandatory prerequisite for the second stage. It's overseen by the Directorate of E-Cell and a Pre-Incubation and Start-Up Review Committee, with a President-chaired Advisory Committee meeting bi-annually.</w:t>
      </w:r>
    </w:p>
    <w:p>
      <w:pPr>
        <w:pStyle w:val="Heading1"/>
        <w:pBdr>
          <w:bottom w:val="single" w:color="6D28D9" w:sz="6" w:space="4"/>
        </w:pBdr>
        <w:spacing w:after="160" w:before="360"/>
      </w:pPr>
      <w:r>
        <w:rPr>
          <w:b/>
          <w:bCs/>
          <w:color w:val="18181B"/>
          <w:sz w:val="28"/>
          <w:szCs w:val="28"/>
        </w:rPr>
        <w:t xml:space="preserve">2. Where this works in Orbit's favour</w:t>
      </w:r>
    </w:p>
    <w:p>
      <w:pPr>
        <w:spacing w:after="30" w:before="140"/>
      </w:pPr>
      <w:r>
        <w:rPr>
          <w:b/>
          <w:bCs/>
          <w:color w:val="15803D"/>
          <w:sz w:val="21"/>
          <w:szCs w:val="21"/>
        </w:rPr>
        <w:t xml:space="preserve">No equity, no IP claim</w:t>
      </w:r>
    </w:p>
    <w:p>
      <w:pPr>
        <w:spacing w:after="140" w:line="280"/>
      </w:pPr>
      <w:r>
        <w:rPr>
          <w:color w:val="18181B"/>
          <w:sz w:val="20"/>
          <w:szCs w:val="20"/>
        </w:rPr>
        <w:t xml:space="preserve">Clause 6 explicitly bars any current MUJ faculty or staff from holding direct or indirect financial or ownership interest — as owner, beneficiary, shareholder, or Director — in any student start-up formed under this policy. Nothing in the policy claims IP over the company, its code, or its brand. Founders keep 100% equity and full IP ownership under this document.</w:t>
      </w:r>
    </w:p>
    <w:p>
      <w:pPr>
        <w:spacing w:after="30" w:before="140"/>
      </w:pPr>
      <w:r>
        <w:rPr>
          <w:b/>
          <w:bCs/>
          <w:color w:val="15803D"/>
          <w:sz w:val="21"/>
          <w:szCs w:val="21"/>
        </w:rPr>
        <w:t xml:space="preserve">Explicit permission to build while studying</w:t>
      </w:r>
    </w:p>
    <w:p>
      <w:pPr>
        <w:spacing w:after="140" w:line="280"/>
      </w:pPr>
      <w:r>
        <w:rPr>
          <w:color w:val="18181B"/>
          <w:sz w:val="20"/>
          <w:szCs w:val="20"/>
        </w:rPr>
        <w:t xml:space="preserve">“MUJ shall allow the students to set up a Start-Up... and work part time for the Start-Up while studying,” conditional only on academic performance not being affected. This gives Orbit a legitimate, on-the-record basis for operating as a student venture.</w:t>
      </w:r>
    </w:p>
    <w:p>
      <w:pPr>
        <w:spacing w:after="30" w:before="140"/>
      </w:pPr>
      <w:r>
        <w:rPr>
          <w:b/>
          <w:bCs/>
          <w:color w:val="15803D"/>
          <w:sz w:val="21"/>
          <w:szCs w:val="21"/>
        </w:rPr>
        <w:t xml:space="preserve">Real, if narrow, financial support</w:t>
      </w:r>
    </w:p>
    <w:p>
      <w:pPr>
        <w:spacing w:after="140" w:line="280"/>
      </w:pPr>
      <w:r>
        <w:rPr>
          <w:color w:val="18181B"/>
          <w:sz w:val="20"/>
          <w:szCs w:val="20"/>
        </w:rPr>
        <w:t xml:space="preserve">Reimbursement (actuals-based, capped per financial year by the competent authority) specifically for company formation and DPIIT registration costs. Not runway, but it removes the cost of formally incorporating.</w:t>
      </w:r>
    </w:p>
    <w:p>
      <w:pPr>
        <w:spacing w:after="30" w:before="140"/>
      </w:pPr>
      <w:r>
        <w:rPr>
          <w:b/>
          <w:bCs/>
          <w:color w:val="15803D"/>
          <w:sz w:val="21"/>
          <w:szCs w:val="21"/>
        </w:rPr>
        <w:t xml:space="preserve">Mentorship, workspace, and network access</w:t>
      </w:r>
    </w:p>
    <w:p>
      <w:pPr>
        <w:spacing w:after="140" w:line="280"/>
      </w:pPr>
      <w:r>
        <w:rPr>
          <w:color w:val="18181B"/>
          <w:sz w:val="20"/>
          <w:szCs w:val="20"/>
        </w:rPr>
        <w:t xml:space="preserve">Access to Institution's Innovation Council (IIC) external mentors, evening-hours lab/room workspace, the IIC Ambassador Program, and university-organized investor conclaves, demo days, pitch competitions, and government scheme access (Startup India, AIM, DST, DBT, and others).</w:t>
      </w:r>
    </w:p>
    <w:p>
      <w:pPr>
        <w:spacing w:after="30" w:before="140"/>
      </w:pPr>
      <w:r>
        <w:rPr>
          <w:b/>
          <w:bCs/>
          <w:color w:val="15803D"/>
          <w:sz w:val="21"/>
          <w:szCs w:val="21"/>
        </w:rPr>
        <w:t xml:space="preserve">Fast-track for demonstrated credibility</w:t>
      </w:r>
    </w:p>
    <w:p>
      <w:pPr>
        <w:spacing w:after="140" w:line="280"/>
      </w:pPr>
      <w:r>
        <w:rPr>
          <w:color w:val="18181B"/>
          <w:sz w:val="20"/>
          <w:szCs w:val="20"/>
        </w:rPr>
        <w:t xml:space="preserve">Students who have already won or participated in MUJ or external hackathons/bootcamps are exempted from the committee presentation step and certified for Pre-Incubation directly on application — worth using if Orbit or its founder(s) have any qualifying hackathon history.</w:t>
      </w:r>
    </w:p>
    <w:p>
      <w:pPr>
        <w:pStyle w:val="Heading1"/>
        <w:pBdr>
          <w:bottom w:val="single" w:color="6D28D9" w:sz="6" w:space="4"/>
        </w:pBdr>
        <w:spacing w:after="160" w:before="360"/>
      </w:pPr>
      <w:r>
        <w:rPr>
          <w:b/>
          <w:bCs/>
          <w:color w:val="18181B"/>
          <w:sz w:val="28"/>
          <w:szCs w:val="28"/>
        </w:rPr>
        <w:t xml:space="preserve">3. Where this can go south</w:t>
      </w:r>
    </w:p>
    <w:p>
      <w:pPr>
        <w:spacing w:after="30" w:before="140"/>
      </w:pPr>
      <w:r>
        <w:rPr>
          <w:b/>
          <w:bCs/>
          <w:color w:val="B91C1C"/>
          <w:sz w:val="21"/>
          <w:szCs w:val="21"/>
        </w:rPr>
        <w:t xml:space="preserve">MUJ carries zero liability — the founder carries all of it</w:t>
      </w:r>
    </w:p>
    <w:p>
      <w:pPr>
        <w:spacing w:after="140" w:line="280"/>
      </w:pPr>
      <w:r>
        <w:rPr>
          <w:color w:val="18181B"/>
          <w:sz w:val="20"/>
          <w:szCs w:val="20"/>
        </w:rPr>
        <w:t xml:space="preserve">“There is no financial liability on Manipal University Jaipur (MUJ) arising out of this policy, except for the reimbursement...” and “noncompliance by the student's member shall have no bearing on MUJ.” If anything goes legally wrong — a defamation or harassment claim from a Locali-Tea post, a data-protection complaint over student emails/photos held by the app, any dispute — MUJ has no obligation to step in. This sits on the founder personally. Locali-Tea, being anonymous and gossip-oriented by design, is the single feature most likely to generate this kind of exposure.</w:t>
      </w:r>
    </w:p>
    <w:p>
      <w:pPr>
        <w:spacing w:after="30" w:before="140"/>
      </w:pPr>
      <w:r>
        <w:rPr>
          <w:b/>
          <w:bCs/>
          <w:color w:val="B91C1C"/>
          <w:sz w:val="21"/>
          <w:szCs w:val="21"/>
        </w:rPr>
        <w:t xml:space="preserve">Name/logo restriction conflicts with Orbit's current positioning</w:t>
      </w:r>
    </w:p>
    <w:p>
      <w:pPr>
        <w:spacing w:after="140" w:line="280"/>
      </w:pPr>
      <w:r>
        <w:rPr>
          <w:color w:val="18181B"/>
          <w:sz w:val="20"/>
          <w:szCs w:val="20"/>
        </w:rPr>
        <w:t xml:space="preserve">“The name or logo of MUJ shall not be used or associated with any Start-Up company formed under this policy, either directly or indirectly, unless specifically approved by the University authorised Signatories in writing.” Orbit is built and marketed around being “the app for Manipal Jaipur students” and already lists real official club names (Manipal Coding Club, E-Cell Manipal Jaipur, NSS Manipal Jaipur, etc.) as if integrated/endorsed content. Without written approval, this positioning risks reading as unauthorized association with the university's name — this needs explicit sign-off, not an assumption.</w:t>
      </w:r>
    </w:p>
    <w:p>
      <w:pPr>
        <w:spacing w:after="30" w:before="140"/>
      </w:pPr>
      <w:r>
        <w:rPr>
          <w:b/>
          <w:bCs/>
          <w:color w:val="B91C1C"/>
          <w:sz w:val="21"/>
          <w:szCs w:val="21"/>
        </w:rPr>
        <w:t xml:space="preserve">The registration sequence doesn't match a 1-week launch plan</w:t>
      </w:r>
    </w:p>
    <w:p>
      <w:pPr>
        <w:spacing w:after="140" w:line="280"/>
      </w:pPr>
      <w:r>
        <w:rPr>
          <w:color w:val="18181B"/>
          <w:sz w:val="20"/>
          <w:szCs w:val="20"/>
        </w:rPr>
        <w:t xml:space="preserve">Formal Start-Up registration requires Pre-Incubation certification first, which itself requires a committee presentation and a stated 10-working-day turnaround for a recommendation. That's a minimum ~2-week institutional clock running in parallel with — not faster than — an aggressive product launch timeline. Launching publicly before going through this process means operating outside the university's sanctioned pathway, which could complicate registering formally later.</w:t>
      </w:r>
    </w:p>
    <w:p>
      <w:pPr>
        <w:spacing w:after="30" w:before="140"/>
      </w:pPr>
      <w:r>
        <w:rPr>
          <w:b/>
          <w:bCs/>
          <w:color w:val="B91C1C"/>
          <w:sz w:val="21"/>
          <w:szCs w:val="21"/>
        </w:rPr>
        <w:t xml:space="preserve">Financial support won't cover what the app actually costs to run</w:t>
      </w:r>
    </w:p>
    <w:p>
      <w:pPr>
        <w:spacing w:after="140" w:line="280"/>
      </w:pPr>
      <w:r>
        <w:rPr>
          <w:color w:val="18181B"/>
          <w:sz w:val="20"/>
          <w:szCs w:val="20"/>
        </w:rPr>
        <w:t xml:space="preserve">The reimbursement is scoped strictly to company formation and DPIIT registration fees. It does not extend to Firebase/hosting costs, domain, marketing, or anything else Orbit needs to actually operate — this policy is not a source of operating runway.</w:t>
      </w:r>
    </w:p>
    <w:p>
      <w:pPr>
        <w:spacing w:after="30" w:before="140"/>
      </w:pPr>
      <w:r>
        <w:rPr>
          <w:b/>
          <w:bCs/>
          <w:color w:val="B91C1C"/>
          <w:sz w:val="21"/>
          <w:szCs w:val="21"/>
        </w:rPr>
        <w:t xml:space="preserve">The actual financial-support agreement is unseen</w:t>
      </w:r>
    </w:p>
    <w:p>
      <w:pPr>
        <w:spacing w:after="140" w:line="280"/>
      </w:pPr>
      <w:r>
        <w:rPr>
          <w:color w:val="18181B"/>
          <w:sz w:val="20"/>
          <w:szCs w:val="20"/>
        </w:rPr>
        <w:t xml:space="preserve">The policy states students “will have to sign the agreement for financial support received from the University for Start-Up registration” but that agreement's text isn't part of this document. It may contain reporting obligations, restrictions, or terms not visible here — it should be read in full before signing, not assumed to mirror this summary.</w:t>
      </w:r>
    </w:p>
    <w:p>
      <w:pPr>
        <w:spacing w:after="30" w:before="140"/>
      </w:pPr>
      <w:r>
        <w:rPr>
          <w:b/>
          <w:bCs/>
          <w:color w:val="B91C1C"/>
          <w:sz w:val="21"/>
          <w:szCs w:val="21"/>
        </w:rPr>
        <w:t xml:space="preserve">Eligibility and reporting obligations</w:t>
      </w:r>
    </w:p>
    <w:p>
      <w:pPr>
        <w:spacing w:after="140" w:line="280"/>
      </w:pPr>
      <w:r>
        <w:rPr>
          <w:color w:val="18181B"/>
          <w:sz w:val="20"/>
          <w:szCs w:val="20"/>
        </w:rPr>
        <w:t xml:space="preserve">Only registered active MUJ students or registered alumni qualify — worth confirming every person involved in Orbit actually meets this before assuming the policy applies to the whole team. Once registered, the policy also requires ongoing submission of “reports of the progress and financial receipts” to the Directorate of E-Cell — a standing compliance overhead, not a one-time step.</w:t>
      </w:r>
    </w:p>
    <w:p>
      <w:pPr>
        <w:pStyle w:val="Heading1"/>
        <w:pBdr>
          <w:bottom w:val="single" w:color="6D28D9" w:sz="6" w:space="4"/>
        </w:pBdr>
        <w:spacing w:after="160" w:before="360"/>
      </w:pPr>
      <w:r>
        <w:rPr>
          <w:b/>
          <w:bCs/>
          <w:color w:val="18181B"/>
          <w:sz w:val="28"/>
          <w:szCs w:val="28"/>
        </w:rPr>
        <w:t xml:space="preserve">4. Before doing anything formal</w:t>
      </w:r>
    </w:p>
    <w:p>
      <w:pPr>
        <w:pStyle w:val="ListParagraph"/>
        <w:numPr>
          <w:ilvl w:val="0"/>
          <w:numId w:val="2"/>
        </w:numPr>
        <w:spacing w:after="100" w:line="280"/>
      </w:pPr>
      <w:r>
        <w:rPr>
          <w:color w:val="18181B"/>
          <w:sz w:val="21"/>
          <w:szCs w:val="21"/>
        </w:rPr>
        <w:t xml:space="preserve">Get written clarification from the Directorate of E-Cell on whether listing real official club names/branding inside Orbit (before any approval) is acceptable, or whether it needs to wait for sign-off.</w:t>
      </w:r>
    </w:p>
    <w:p>
      <w:pPr>
        <w:pStyle w:val="ListParagraph"/>
        <w:numPr>
          <w:ilvl w:val="0"/>
          <w:numId w:val="2"/>
        </w:numPr>
        <w:spacing w:after="100" w:line="280"/>
      </w:pPr>
      <w:r>
        <w:rPr>
          <w:color w:val="18181B"/>
          <w:sz w:val="21"/>
          <w:szCs w:val="21"/>
        </w:rPr>
        <w:t xml:space="preserve">Ask to see the actual financial-support agreement text before applying for Pre-Incubation, not just this policy summary.</w:t>
      </w:r>
    </w:p>
    <w:p>
      <w:pPr>
        <w:pStyle w:val="ListParagraph"/>
        <w:numPr>
          <w:ilvl w:val="0"/>
          <w:numId w:val="2"/>
        </w:numPr>
        <w:spacing w:after="100" w:line="280"/>
      </w:pPr>
      <w:r>
        <w:rPr>
          <w:color w:val="18181B"/>
          <w:sz w:val="21"/>
          <w:szCs w:val="21"/>
        </w:rPr>
        <w:t xml:space="preserve">Decide the launch sequencing question directly: apply for Pre-Incubation certification before a public launch (safer, slower), or launch first and formalize later (faster, but outside the sanctioned pathway while live).</w:t>
      </w:r>
    </w:p>
    <w:p>
      <w:pPr>
        <w:pStyle w:val="ListParagraph"/>
        <w:numPr>
          <w:ilvl w:val="0"/>
          <w:numId w:val="2"/>
        </w:numPr>
        <w:spacing w:after="100" w:line="280"/>
      </w:pPr>
      <w:r>
        <w:rPr>
          <w:color w:val="18181B"/>
          <w:sz w:val="21"/>
          <w:szCs w:val="21"/>
        </w:rPr>
        <w:t xml:space="preserve">Independently assess Locali-Tea's legal exposure (defamation, harassment, IT Act/DPDP Act data-handling obligations) given MUJ has explicitly disclaimed liability — this is worth a real legal read, not just a policy read.</w:t>
      </w:r>
    </w:p>
    <w:p>
      <w:pPr>
        <w:pStyle w:val="ListParagraph"/>
        <w:numPr>
          <w:ilvl w:val="0"/>
          <w:numId w:val="2"/>
        </w:numPr>
        <w:spacing w:after="100" w:line="280"/>
      </w:pPr>
      <w:r>
        <w:rPr>
          <w:color w:val="18181B"/>
          <w:sz w:val="21"/>
          <w:szCs w:val="21"/>
        </w:rPr>
        <w:t xml:space="preserve">Confirm every person involved in Orbit is a registered active MUJ student or alumnus, since that's the hard eligibility line in the policy.</w:t>
      </w:r>
    </w:p>
    <w:p>
      <w:pPr>
        <w:pStyle w:val="Heading1"/>
        <w:pBdr>
          <w:bottom w:val="single" w:color="6D28D9" w:sz="6" w:space="4"/>
        </w:pBdr>
        <w:spacing w:after="160" w:before="360"/>
      </w:pPr>
      <w:r>
        <w:rPr>
          <w:b/>
          <w:bCs/>
          <w:color w:val="18181B"/>
          <w:sz w:val="28"/>
          <w:szCs w:val="28"/>
        </w:rPr>
        <w:t xml:space="preserve">5. Bottom line</w:t>
      </w:r>
    </w:p>
    <w:p>
      <w:pPr>
        <w:spacing w:after="160" w:line="300"/>
      </w:pPr>
      <w:r>
        <w:rPr>
          <w:color w:val="18181B"/>
          <w:sz w:val="21"/>
          <w:szCs w:val="21"/>
        </w:rPr>
        <w:t xml:space="preserve">On the ownership question, this policy is genuinely favourable — no equity taken, no IP claimed, explicit permission to operate part-time. The real exposure is elsewhere: MUJ has structured this policy to take on essentially no risk itself, which by design pushes every legal and financial consequence onto the founder, and the name/branding restriction sits in direct tension with how Orbit is currently positioned. Those two points — liability exposure (especially from Locali-Tea) and the MUJ name/branding question — are the ones worth resolving explicitly with the E-Cell before treating this policy as a green light.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2026-08-13T10:19:56.308Z</dcterms:created>
  <dcterms:modified xsi:type="dcterms:W3CDTF">2026-08-13T10:19:56.325Z</dcterms:modified>
</cp:coreProperties>
</file>

<file path=docProps/custom.xml><?xml version="1.0" encoding="utf-8"?>
<Properties xmlns="http://schemas.openxmlformats.org/officeDocument/2006/custom-properties" xmlns:vt="http://schemas.openxmlformats.org/officeDocument/2006/docPropsVTypes"/>
</file>