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Orbit — Backend Architecture</w:t>
      </w:r>
    </w:p>
    <w:p>
      <w:pPr>
        <w:spacing w:after="320"/>
      </w:pPr>
      <w:r>
        <w:rPr>
          <w:i/>
          <w:iCs/>
          <w:color w:val="555555"/>
          <w:sz w:val="24"/>
          <w:szCs w:val="24"/>
        </w:rPr>
        <w:t xml:space="preserve">Scaling plan for the first 10,000 students · Manipal University Jaipur</w:t>
      </w:r>
    </w:p>
    <w:p>
      <w:pPr>
        <w:pStyle w:val="Heading1"/>
        <w:spacing w:after="160" w:before="320"/>
      </w:pPr>
      <w:r>
        <w:t xml:space="preserve">1. Overview</w:t>
      </w:r>
    </w:p>
    <w:p>
      <w:pPr>
        <w:spacing w:after="120"/>
      </w:pPr>
      <w:r>
        <w:t xml:space="preserve">Orbit's frontend (React) is already built. This document defines the backend that data, auth, chat, and events will run on, sized specifically for a single-campus launch of up to 10,000 students. It favors a small managed stack over custom infrastructure — the goal is to ship in days, not build a platform team.</w:t>
      </w:r>
    </w:p>
    <w:p>
      <w:pPr>
        <w:spacing w:after="120"/>
      </w:pPr>
      <w:r>
        <w:t xml:space="preserve">Companion document: SPEC.md (in the app repo) covers the product/UI changes this backend supports — campus-exclusive access, clubs, events tied to communities, and community/club handles with QR codes.</w:t>
      </w:r>
    </w:p>
    <w:p>
      <w:pPr>
        <w:pStyle w:val="Heading1"/>
        <w:spacing w:after="160" w:before="320"/>
      </w:pPr>
      <w:r>
        <w:t xml:space="preserve">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shd w:fill="1F2937" w:val="clear"/>
            <w:tcMar>
              <w:top w:type="dxa" w:w="100"/>
              <w:left w:type="dxa" w:w="120"/>
              <w:bottom w:type="dxa" w:w="100"/>
              <w:right w:type="dxa" w:w="120"/>
            </w:tcMar>
          </w:tcPr>
          <w:p>
            <w:r>
              <w:rPr>
                <w:b/>
                <w:bCs/>
                <w:color w:val="FFFFFF"/>
                <w:sz w:val="20"/>
                <w:szCs w:val="20"/>
              </w:rPr>
              <w:t xml:space="preserve">Layer</w:t>
            </w:r>
          </w:p>
        </w:tc>
        <w:tc>
          <w:tcPr>
            <w:tcW w:type="dxa" w:w="2600"/>
            <w:shd w:fill="1F2937" w:val="clear"/>
            <w:tcMar>
              <w:top w:type="dxa" w:w="100"/>
              <w:left w:type="dxa" w:w="120"/>
              <w:bottom w:type="dxa" w:w="100"/>
              <w:right w:type="dxa" w:w="120"/>
            </w:tcMar>
          </w:tcPr>
          <w:p>
            <w:r>
              <w:rPr>
                <w:b/>
                <w:bCs/>
                <w:color w:val="FFFFFF"/>
                <w:sz w:val="20"/>
                <w:szCs w:val="20"/>
              </w:rPr>
              <w:t xml:space="preserve">Choice</w:t>
            </w:r>
          </w:p>
        </w:tc>
        <w:tc>
          <w:tcPr>
            <w:tcW w:type="dxa" w:w="4626"/>
            <w:shd w:fill="1F2937" w:val="clear"/>
            <w:tcMar>
              <w:top w:type="dxa" w:w="100"/>
              <w:left w:type="dxa" w:w="120"/>
              <w:bottom w:type="dxa" w:w="100"/>
              <w:right w:type="dxa" w:w="120"/>
            </w:tcMar>
          </w:tcPr>
          <w:p>
            <w:r>
              <w:rPr>
                <w:b/>
                <w:bCs/>
                <w:color w:val="FFFFFF"/>
                <w:sz w:val="20"/>
                <w:szCs w:val="20"/>
              </w:rPr>
              <w:t xml:space="preserve">Why</w:t>
            </w:r>
          </w:p>
        </w:tc>
      </w:tr>
      <w:tr>
        <w:tc>
          <w:tcPr>
            <w:tcW w:type="dxa" w:w="1800"/>
            <w:tcMar>
              <w:top w:type="dxa" w:w="100"/>
              <w:left w:type="dxa" w:w="120"/>
              <w:bottom w:type="dxa" w:w="100"/>
              <w:right w:type="dxa" w:w="120"/>
            </w:tcMar>
          </w:tcPr>
          <w:p>
            <w:r>
              <w:rPr>
                <w:b w:val="false"/>
                <w:bCs w:val="false"/>
                <w:color w:val="1a1a1a"/>
                <w:sz w:val="20"/>
                <w:szCs w:val="20"/>
              </w:rPr>
              <w:t xml:space="preserve">Frontend</w:t>
            </w:r>
          </w:p>
        </w:tc>
        <w:tc>
          <w:tcPr>
            <w:tcW w:type="dxa" w:w="2600"/>
            <w:tcMar>
              <w:top w:type="dxa" w:w="100"/>
              <w:left w:type="dxa" w:w="120"/>
              <w:bottom w:type="dxa" w:w="100"/>
              <w:right w:type="dxa" w:w="120"/>
            </w:tcMar>
          </w:tcPr>
          <w:p>
            <w:r>
              <w:rPr>
                <w:b w:val="false"/>
                <w:bCs w:val="false"/>
                <w:color w:val="1a1a1a"/>
                <w:sz w:val="20"/>
                <w:szCs w:val="20"/>
              </w:rPr>
              <w:t xml:space="preserve">React + Vite (existing)</w:t>
            </w:r>
          </w:p>
        </w:tc>
        <w:tc>
          <w:tcPr>
            <w:tcW w:type="dxa" w:w="4626"/>
            <w:tcMar>
              <w:top w:type="dxa" w:w="100"/>
              <w:left w:type="dxa" w:w="120"/>
              <w:bottom w:type="dxa" w:w="100"/>
              <w:right w:type="dxa" w:w="120"/>
            </w:tcMar>
          </w:tcPr>
          <w:p>
            <w:r>
              <w:rPr>
                <w:b w:val="false"/>
                <w:bCs w:val="false"/>
                <w:color w:val="1a1a1a"/>
                <w:sz w:val="20"/>
                <w:szCs w:val="20"/>
              </w:rPr>
              <w:t xml:space="preserve">Already built; no change needed.</w:t>
            </w:r>
          </w:p>
        </w:tc>
      </w:tr>
      <w:tr>
        <w:tc>
          <w:tcPr>
            <w:tcW w:type="dxa" w:w="1800"/>
            <w:tcMar>
              <w:top w:type="dxa" w:w="100"/>
              <w:left w:type="dxa" w:w="120"/>
              <w:bottom w:type="dxa" w:w="100"/>
              <w:right w:type="dxa" w:w="120"/>
            </w:tcMar>
          </w:tcPr>
          <w:p>
            <w:r>
              <w:rPr>
                <w:b w:val="false"/>
                <w:bCs w:val="false"/>
                <w:color w:val="1a1a1a"/>
                <w:sz w:val="20"/>
                <w:szCs w:val="20"/>
              </w:rPr>
              <w:t xml:space="preserve">Backend / DB</w:t>
            </w:r>
          </w:p>
        </w:tc>
        <w:tc>
          <w:tcPr>
            <w:tcW w:type="dxa" w:w="2600"/>
            <w:tcMar>
              <w:top w:type="dxa" w:w="100"/>
              <w:left w:type="dxa" w:w="120"/>
              <w:bottom w:type="dxa" w:w="100"/>
              <w:right w:type="dxa" w:w="120"/>
            </w:tcMar>
          </w:tcPr>
          <w:p>
            <w:r>
              <w:rPr>
                <w:b w:val="false"/>
                <w:bCs w:val="false"/>
                <w:color w:val="1a1a1a"/>
                <w:sz w:val="20"/>
                <w:szCs w:val="20"/>
              </w:rPr>
              <w:t xml:space="preserve">Supabase (Postgres)</w:t>
            </w:r>
          </w:p>
        </w:tc>
        <w:tc>
          <w:tcPr>
            <w:tcW w:type="dxa" w:w="4626"/>
            <w:tcMar>
              <w:top w:type="dxa" w:w="100"/>
              <w:left w:type="dxa" w:w="120"/>
              <w:bottom w:type="dxa" w:w="100"/>
              <w:right w:type="dxa" w:w="120"/>
            </w:tcMar>
          </w:tcPr>
          <w:p>
            <w:r>
              <w:rPr>
                <w:b w:val="false"/>
                <w:bCs w:val="false"/>
                <w:color w:val="1a1a1a"/>
                <w:sz w:val="20"/>
                <w:szCs w:val="20"/>
              </w:rPr>
              <w:t xml:space="preserve">Auth, database, realtime, storage and edge functions in one product — fastest path for a solo/small team.</w:t>
            </w:r>
          </w:p>
        </w:tc>
      </w:tr>
      <w:tr>
        <w:tc>
          <w:tcPr>
            <w:tcW w:type="dxa" w:w="1800"/>
            <w:tcMar>
              <w:top w:type="dxa" w:w="100"/>
              <w:left w:type="dxa" w:w="120"/>
              <w:bottom w:type="dxa" w:w="100"/>
              <w:right w:type="dxa" w:w="120"/>
            </w:tcMar>
          </w:tcPr>
          <w:p>
            <w:r>
              <w:rPr>
                <w:b w:val="false"/>
                <w:bCs w:val="false"/>
                <w:color w:val="1a1a1a"/>
                <w:sz w:val="20"/>
                <w:szCs w:val="20"/>
              </w:rPr>
              <w:t xml:space="preserve">Auth</w:t>
            </w:r>
          </w:p>
        </w:tc>
        <w:tc>
          <w:tcPr>
            <w:tcW w:type="dxa" w:w="2600"/>
            <w:tcMar>
              <w:top w:type="dxa" w:w="100"/>
              <w:left w:type="dxa" w:w="120"/>
              <w:bottom w:type="dxa" w:w="100"/>
              <w:right w:type="dxa" w:w="120"/>
            </w:tcMar>
          </w:tcPr>
          <w:p>
            <w:r>
              <w:rPr>
                <w:b w:val="false"/>
                <w:bCs w:val="false"/>
                <w:color w:val="1a1a1a"/>
                <w:sz w:val="20"/>
                <w:szCs w:val="20"/>
              </w:rPr>
              <w:t xml:space="preserve">Supabase Auth, email OTP only</w:t>
            </w:r>
          </w:p>
        </w:tc>
        <w:tc>
          <w:tcPr>
            <w:tcW w:type="dxa" w:w="4626"/>
            <w:tcMar>
              <w:top w:type="dxa" w:w="100"/>
              <w:left w:type="dxa" w:w="120"/>
              <w:bottom w:type="dxa" w:w="100"/>
              <w:right w:type="dxa" w:w="120"/>
            </w:tcMar>
          </w:tcPr>
          <w:p>
            <w:r>
              <w:rPr>
                <w:b w:val="false"/>
                <w:bCs w:val="false"/>
                <w:color w:val="1a1a1a"/>
                <w:sz w:val="20"/>
                <w:szCs w:val="20"/>
              </w:rPr>
              <w:t xml:space="preserve">Restrict signups to the official college email domain; no Microsoft/Azure AD integration needed, so no institutional approval required (see Section 4).</w:t>
            </w:r>
          </w:p>
        </w:tc>
      </w:tr>
      <w:tr>
        <w:tc>
          <w:tcPr>
            <w:tcW w:type="dxa" w:w="1800"/>
            <w:tcMar>
              <w:top w:type="dxa" w:w="100"/>
              <w:left w:type="dxa" w:w="120"/>
              <w:bottom w:type="dxa" w:w="100"/>
              <w:right w:type="dxa" w:w="120"/>
            </w:tcMar>
          </w:tcPr>
          <w:p>
            <w:r>
              <w:rPr>
                <w:b w:val="false"/>
                <w:bCs w:val="false"/>
                <w:color w:val="1a1a1a"/>
                <w:sz w:val="20"/>
                <w:szCs w:val="20"/>
              </w:rPr>
              <w:t xml:space="preserve">Realtime</w:t>
            </w:r>
          </w:p>
        </w:tc>
        <w:tc>
          <w:tcPr>
            <w:tcW w:type="dxa" w:w="2600"/>
            <w:tcMar>
              <w:top w:type="dxa" w:w="100"/>
              <w:left w:type="dxa" w:w="120"/>
              <w:bottom w:type="dxa" w:w="100"/>
              <w:right w:type="dxa" w:w="120"/>
            </w:tcMar>
          </w:tcPr>
          <w:p>
            <w:r>
              <w:rPr>
                <w:b w:val="false"/>
                <w:bCs w:val="false"/>
                <w:color w:val="1a1a1a"/>
                <w:sz w:val="20"/>
                <w:szCs w:val="20"/>
              </w:rPr>
              <w:t xml:space="preserve">Supabase Realtime (Postgres changes)</w:t>
            </w:r>
          </w:p>
        </w:tc>
        <w:tc>
          <w:tcPr>
            <w:tcW w:type="dxa" w:w="4626"/>
            <w:tcMar>
              <w:top w:type="dxa" w:w="100"/>
              <w:left w:type="dxa" w:w="120"/>
              <w:bottom w:type="dxa" w:w="100"/>
              <w:right w:type="dxa" w:w="120"/>
            </w:tcMar>
          </w:tcPr>
          <w:p>
            <w:r>
              <w:rPr>
                <w:b w:val="false"/>
                <w:bCs w:val="false"/>
                <w:color w:val="1a1a1a"/>
                <w:sz w:val="20"/>
                <w:szCs w:val="20"/>
              </w:rPr>
              <w:t xml:space="preserve">Powers community/club chat and “active now” indicators without a separate WebSocket service.</w:t>
            </w:r>
          </w:p>
        </w:tc>
      </w:tr>
      <w:tr>
        <w:tc>
          <w:tcPr>
            <w:tcW w:type="dxa" w:w="1800"/>
            <w:tcMar>
              <w:top w:type="dxa" w:w="100"/>
              <w:left w:type="dxa" w:w="120"/>
              <w:bottom w:type="dxa" w:w="100"/>
              <w:right w:type="dxa" w:w="120"/>
            </w:tcMar>
          </w:tcPr>
          <w:p>
            <w:r>
              <w:rPr>
                <w:b w:val="false"/>
                <w:bCs w:val="false"/>
                <w:color w:val="1a1a1a"/>
                <w:sz w:val="20"/>
                <w:szCs w:val="20"/>
              </w:rPr>
              <w:t xml:space="preserve">File storage</w:t>
            </w:r>
          </w:p>
        </w:tc>
        <w:tc>
          <w:tcPr>
            <w:tcW w:type="dxa" w:w="2600"/>
            <w:tcMar>
              <w:top w:type="dxa" w:w="100"/>
              <w:left w:type="dxa" w:w="120"/>
              <w:bottom w:type="dxa" w:w="100"/>
              <w:right w:type="dxa" w:w="120"/>
            </w:tcMar>
          </w:tcPr>
          <w:p>
            <w:r>
              <w:rPr>
                <w:b w:val="false"/>
                <w:bCs w:val="false"/>
                <w:color w:val="1a1a1a"/>
                <w:sz w:val="20"/>
                <w:szCs w:val="20"/>
              </w:rPr>
              <w:t xml:space="preserve">Supabase Storage</w:t>
            </w:r>
          </w:p>
        </w:tc>
        <w:tc>
          <w:tcPr>
            <w:tcW w:type="dxa" w:w="4626"/>
            <w:tcMar>
              <w:top w:type="dxa" w:w="100"/>
              <w:left w:type="dxa" w:w="120"/>
              <w:bottom w:type="dxa" w:w="100"/>
              <w:right w:type="dxa" w:w="120"/>
            </w:tcMar>
          </w:tcPr>
          <w:p>
            <w:r>
              <w:rPr>
                <w:b w:val="false"/>
                <w:bCs w:val="false"/>
                <w:color w:val="1a1a1a"/>
                <w:sz w:val="20"/>
                <w:szCs w:val="20"/>
              </w:rPr>
              <w:t xml:space="preserve">Profile photos, post images/videos, club/event covers.</w:t>
            </w:r>
          </w:p>
        </w:tc>
      </w:tr>
      <w:tr>
        <w:tc>
          <w:tcPr>
            <w:tcW w:type="dxa" w:w="1800"/>
            <w:tcMar>
              <w:top w:type="dxa" w:w="100"/>
              <w:left w:type="dxa" w:w="120"/>
              <w:bottom w:type="dxa" w:w="100"/>
              <w:right w:type="dxa" w:w="120"/>
            </w:tcMar>
          </w:tcPr>
          <w:p>
            <w:r>
              <w:rPr>
                <w:b w:val="false"/>
                <w:bCs w:val="false"/>
                <w:color w:val="1a1a1a"/>
                <w:sz w:val="20"/>
                <w:szCs w:val="20"/>
              </w:rPr>
              <w:t xml:space="preserve">Push notifications</w:t>
            </w:r>
          </w:p>
        </w:tc>
        <w:tc>
          <w:tcPr>
            <w:tcW w:type="dxa" w:w="2600"/>
            <w:tcMar>
              <w:top w:type="dxa" w:w="100"/>
              <w:left w:type="dxa" w:w="120"/>
              <w:bottom w:type="dxa" w:w="100"/>
              <w:right w:type="dxa" w:w="120"/>
            </w:tcMar>
          </w:tcPr>
          <w:p>
            <w:r>
              <w:rPr>
                <w:b w:val="false"/>
                <w:bCs w:val="false"/>
                <w:color w:val="1a1a1a"/>
                <w:sz w:val="20"/>
                <w:szCs w:val="20"/>
              </w:rPr>
              <w:t xml:space="preserve">Firebase Cloud Messaging (FCM)</w:t>
            </w:r>
          </w:p>
        </w:tc>
        <w:tc>
          <w:tcPr>
            <w:tcW w:type="dxa" w:w="4626"/>
            <w:tcMar>
              <w:top w:type="dxa" w:w="100"/>
              <w:left w:type="dxa" w:w="120"/>
              <w:bottom w:type="dxa" w:w="100"/>
              <w:right w:type="dxa" w:w="120"/>
            </w:tcMar>
          </w:tcPr>
          <w:p>
            <w:r>
              <w:rPr>
                <w:b w:val="false"/>
                <w:bCs w:val="false"/>
                <w:color w:val="1a1a1a"/>
                <w:sz w:val="20"/>
                <w:szCs w:val="20"/>
              </w:rPr>
              <w:t xml:space="preserve">Free, works independently of the DB/auth choice; needed since Supabase has no native push service.</w:t>
            </w:r>
          </w:p>
        </w:tc>
      </w:tr>
      <w:tr>
        <w:tc>
          <w:tcPr>
            <w:tcW w:type="dxa" w:w="1800"/>
            <w:tcMar>
              <w:top w:type="dxa" w:w="100"/>
              <w:left w:type="dxa" w:w="120"/>
              <w:bottom w:type="dxa" w:w="100"/>
              <w:right w:type="dxa" w:w="120"/>
            </w:tcMar>
          </w:tcPr>
          <w:p>
            <w:r>
              <w:rPr>
                <w:b w:val="false"/>
                <w:bCs w:val="false"/>
                <w:color w:val="1a1a1a"/>
                <w:sz w:val="20"/>
                <w:szCs w:val="20"/>
              </w:rPr>
              <w:t xml:space="preserve">QR codes</w:t>
            </w:r>
          </w:p>
        </w:tc>
        <w:tc>
          <w:tcPr>
            <w:tcW w:type="dxa" w:w="2600"/>
            <w:tcMar>
              <w:top w:type="dxa" w:w="100"/>
              <w:left w:type="dxa" w:w="120"/>
              <w:bottom w:type="dxa" w:w="100"/>
              <w:right w:type="dxa" w:w="120"/>
            </w:tcMar>
          </w:tcPr>
          <w:p>
            <w:r>
              <w:rPr>
                <w:b w:val="false"/>
                <w:bCs w:val="false"/>
                <w:color w:val="1a1a1a"/>
                <w:sz w:val="20"/>
                <w:szCs w:val="20"/>
              </w:rPr>
              <w:t xml:space="preserve">qrcode (npm) generated client-side or via edge function</w:t>
            </w:r>
          </w:p>
        </w:tc>
        <w:tc>
          <w:tcPr>
            <w:tcW w:type="dxa" w:w="4626"/>
            <w:tcMar>
              <w:top w:type="dxa" w:w="100"/>
              <w:left w:type="dxa" w:w="120"/>
              <w:bottom w:type="dxa" w:w="100"/>
              <w:right w:type="dxa" w:w="120"/>
            </w:tcMar>
          </w:tcPr>
          <w:p>
            <w:r>
              <w:rPr>
                <w:b w:val="false"/>
                <w:bCs w:val="false"/>
                <w:color w:val="1a1a1a"/>
                <w:sz w:val="20"/>
                <w:szCs w:val="20"/>
              </w:rPr>
              <w:t xml:space="preserve">No external service or cost; QR just encodes each community/club's handle URL.</w:t>
            </w:r>
          </w:p>
        </w:tc>
      </w:tr>
      <w:tr>
        <w:tc>
          <w:tcPr>
            <w:tcW w:type="dxa" w:w="1800"/>
            <w:tcMar>
              <w:top w:type="dxa" w:w="100"/>
              <w:left w:type="dxa" w:w="120"/>
              <w:bottom w:type="dxa" w:w="100"/>
              <w:right w:type="dxa" w:w="120"/>
            </w:tcMar>
          </w:tcPr>
          <w:p>
            <w:r>
              <w:rPr>
                <w:b w:val="false"/>
                <w:bCs w:val="false"/>
                <w:color w:val="1a1a1a"/>
                <w:sz w:val="20"/>
                <w:szCs w:val="20"/>
              </w:rPr>
              <w:t xml:space="preserve">Hosting (frontend)</w:t>
            </w:r>
          </w:p>
        </w:tc>
        <w:tc>
          <w:tcPr>
            <w:tcW w:type="dxa" w:w="2600"/>
            <w:tcMar>
              <w:top w:type="dxa" w:w="100"/>
              <w:left w:type="dxa" w:w="120"/>
              <w:bottom w:type="dxa" w:w="100"/>
              <w:right w:type="dxa" w:w="120"/>
            </w:tcMar>
          </w:tcPr>
          <w:p>
            <w:r>
              <w:rPr>
                <w:b w:val="false"/>
                <w:bCs w:val="false"/>
                <w:color w:val="1a1a1a"/>
                <w:sz w:val="20"/>
                <w:szCs w:val="20"/>
              </w:rPr>
              <w:t xml:space="preserve">Vercel</w:t>
            </w:r>
          </w:p>
        </w:tc>
        <w:tc>
          <w:tcPr>
            <w:tcW w:type="dxa" w:w="4626"/>
            <w:tcMar>
              <w:top w:type="dxa" w:w="100"/>
              <w:left w:type="dxa" w:w="120"/>
              <w:bottom w:type="dxa" w:w="100"/>
              <w:right w:type="dxa" w:w="120"/>
            </w:tcMar>
          </w:tcPr>
          <w:p>
            <w:r>
              <w:rPr>
                <w:b w:val="false"/>
                <w:bCs w:val="false"/>
                <w:color w:val="1a1a1a"/>
                <w:sz w:val="20"/>
                <w:szCs w:val="20"/>
              </w:rPr>
              <w:t xml:space="preserve">Zero-config deploys from the existing Vite project, generous free tier.</w:t>
            </w:r>
          </w:p>
        </w:tc>
      </w:tr>
      <w:tr>
        <w:tc>
          <w:tcPr>
            <w:tcW w:type="dxa" w:w="1800"/>
            <w:tcMar>
              <w:top w:type="dxa" w:w="100"/>
              <w:left w:type="dxa" w:w="120"/>
              <w:bottom w:type="dxa" w:w="100"/>
              <w:right w:type="dxa" w:w="120"/>
            </w:tcMar>
          </w:tcPr>
          <w:p>
            <w:r>
              <w:rPr>
                <w:b w:val="false"/>
                <w:bCs w:val="false"/>
                <w:color w:val="1a1a1a"/>
                <w:sz w:val="20"/>
                <w:szCs w:val="20"/>
              </w:rPr>
              <w:t xml:space="preserve">Hosting (edge logic)</w:t>
            </w:r>
          </w:p>
        </w:tc>
        <w:tc>
          <w:tcPr>
            <w:tcW w:type="dxa" w:w="2600"/>
            <w:tcMar>
              <w:top w:type="dxa" w:w="100"/>
              <w:left w:type="dxa" w:w="120"/>
              <w:bottom w:type="dxa" w:w="100"/>
              <w:right w:type="dxa" w:w="120"/>
            </w:tcMar>
          </w:tcPr>
          <w:p>
            <w:r>
              <w:rPr>
                <w:b w:val="false"/>
                <w:bCs w:val="false"/>
                <w:color w:val="1a1a1a"/>
                <w:sz w:val="20"/>
                <w:szCs w:val="20"/>
              </w:rPr>
              <w:t xml:space="preserve">Supabase Edge Functions (Deno)</w:t>
            </w:r>
          </w:p>
        </w:tc>
        <w:tc>
          <w:tcPr>
            <w:tcW w:type="dxa" w:w="4626"/>
            <w:tcMar>
              <w:top w:type="dxa" w:w="100"/>
              <w:left w:type="dxa" w:w="120"/>
              <w:bottom w:type="dxa" w:w="100"/>
              <w:right w:type="dxa" w:w="120"/>
            </w:tcMar>
          </w:tcPr>
          <w:p>
            <w:r>
              <w:rPr>
                <w:b w:val="false"/>
                <w:bCs w:val="false"/>
                <w:color w:val="1a1a1a"/>
                <w:sz w:val="20"/>
                <w:szCs w:val="20"/>
              </w:rPr>
              <w:t xml:space="preserve">For anything that shouldn't run in the browser — e.g. enforcing college-email-only signup, generating unique handles.</w:t>
            </w:r>
          </w:p>
        </w:tc>
      </w:tr>
    </w:tbl>
    <w:p>
      <w:pPr>
        <w:pStyle w:val="Heading1"/>
        <w:spacing w:after="160" w:before="320"/>
      </w:pPr>
      <w:r>
        <w:t xml:space="preserve">3. Authentication flow</w:t>
      </w:r>
    </w:p>
    <w:p>
      <w:pPr>
        <w:spacing w:after="120"/>
      </w:pPr>
      <w:r>
        <w:t xml:space="preserve">No Microsoft/Azure AD SSO for v1. Manipal Jaipur's login runs on Microsoft Entra ID; registering a third-party OAuth app against a college's tenant normally requires IT/admin consent, which is out of scope for launch. Instead:</w:t>
      </w:r>
    </w:p>
    <w:p>
      <w:pPr>
        <w:pStyle w:val="ListParagraph"/>
        <w:numPr>
          <w:ilvl w:val="0"/>
          <w:numId w:val="2"/>
        </w:numPr>
        <w:spacing w:after="60"/>
      </w:pPr>
      <w:r>
        <w:t xml:space="preserve">Student enters their official college email address (must match the college's domain, checked against an allow-list of valid domain(s) at signup).</w:t>
      </w:r>
    </w:p>
    <w:p>
      <w:pPr>
        <w:pStyle w:val="ListParagraph"/>
        <w:numPr>
          <w:ilvl w:val="0"/>
          <w:numId w:val="2"/>
        </w:numPr>
        <w:spacing w:after="60"/>
      </w:pPr>
      <w:r>
        <w:t xml:space="preserve">Supabase Auth sends a one-time password (OTP) to that inbox.</w:t>
      </w:r>
    </w:p>
    <w:p>
      <w:pPr>
        <w:pStyle w:val="ListParagraph"/>
        <w:numPr>
          <w:ilvl w:val="0"/>
          <w:numId w:val="2"/>
        </w:numPr>
        <w:spacing w:after="60"/>
      </w:pPr>
      <w:r>
        <w:t xml:space="preserve">On verification, Orbit issues its own session (long-lived refresh token) — the student is not re-prompted every few days, since we are not depending on the college's own Conditional Access / sign-in-frequency policy.</w:t>
      </w:r>
    </w:p>
    <w:p>
      <w:pPr>
        <w:pStyle w:val="ListParagraph"/>
        <w:numPr>
          <w:ilvl w:val="0"/>
          <w:numId w:val="2"/>
        </w:numPr>
        <w:spacing w:after="60"/>
      </w:pPr>
      <w:r>
        <w:t xml:space="preserve">“Sign in with Microsoft” can be added later as an optional path if/when the college is looped in and agrees to register the app in their tenant — not a launch blocker.</w:t>
      </w:r>
    </w:p>
    <w:p>
      <w:pPr>
        <w:spacing w:after="120"/>
      </w:pPr>
      <w:r>
        <w:t xml:space="preserve">Domain allow-list enforcement happens in a Postgres trigger or Edge Function on signup, rejecting any email outside the approved college domain(s) before an OTP is even sent.</w:t>
      </w:r>
    </w:p>
    <w:p>
      <w:pPr>
        <w:pStyle w:val="Heading1"/>
        <w:spacing w:after="160" w:before="320"/>
      </w:pPr>
      <w:r>
        <w:t xml:space="preserve">4. Database schema (core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shd w:fill="1F2937" w:val="clear"/>
            <w:tcMar>
              <w:top w:type="dxa" w:w="100"/>
              <w:left w:type="dxa" w:w="120"/>
              <w:bottom w:type="dxa" w:w="100"/>
              <w:right w:type="dxa" w:w="120"/>
            </w:tcMar>
          </w:tcPr>
          <w:p>
            <w:r>
              <w:rPr>
                <w:b/>
                <w:bCs/>
                <w:color w:val="FFFFFF"/>
                <w:sz w:val="20"/>
                <w:szCs w:val="20"/>
              </w:rPr>
              <w:t xml:space="preserve">Table</w:t>
            </w:r>
          </w:p>
        </w:tc>
        <w:tc>
          <w:tcPr>
            <w:tcW w:type="dxa" w:w="3600"/>
            <w:shd w:fill="1F2937" w:val="clear"/>
            <w:tcMar>
              <w:top w:type="dxa" w:w="100"/>
              <w:left w:type="dxa" w:w="120"/>
              <w:bottom w:type="dxa" w:w="100"/>
              <w:right w:type="dxa" w:w="120"/>
            </w:tcMar>
          </w:tcPr>
          <w:p>
            <w:r>
              <w:rPr>
                <w:b/>
                <w:bCs/>
                <w:color w:val="FFFFFF"/>
                <w:sz w:val="20"/>
                <w:szCs w:val="20"/>
              </w:rPr>
              <w:t xml:space="preserve">Key columns</w:t>
            </w:r>
          </w:p>
        </w:tc>
        <w:tc>
          <w:tcPr>
            <w:tcW w:type="dxa" w:w="3826"/>
            <w:shd w:fill="1F2937" w:val="clear"/>
            <w:tcMar>
              <w:top w:type="dxa" w:w="100"/>
              <w:left w:type="dxa" w:w="120"/>
              <w:bottom w:type="dxa" w:w="100"/>
              <w:right w:type="dxa" w:w="120"/>
            </w:tcMar>
          </w:tcPr>
          <w:p>
            <w:r>
              <w:rPr>
                <w:b/>
                <w:bCs/>
                <w:color w:val="FFFFFF"/>
                <w:sz w:val="20"/>
                <w:szCs w:val="20"/>
              </w:rPr>
              <w:t xml:space="preserve">Notes</w:t>
            </w:r>
          </w:p>
        </w:tc>
      </w:tr>
      <w:tr>
        <w:tc>
          <w:tcPr>
            <w:tcW w:type="dxa" w:w="1600"/>
            <w:tcMar>
              <w:top w:type="dxa" w:w="100"/>
              <w:left w:type="dxa" w:w="120"/>
              <w:bottom w:type="dxa" w:w="100"/>
              <w:right w:type="dxa" w:w="120"/>
            </w:tcMar>
          </w:tcPr>
          <w:p>
            <w:r>
              <w:rPr>
                <w:b w:val="false"/>
                <w:bCs w:val="false"/>
                <w:color w:val="1a1a1a"/>
                <w:sz w:val="20"/>
                <w:szCs w:val="20"/>
              </w:rPr>
              <w:t xml:space="preserve">users</w:t>
            </w:r>
          </w:p>
        </w:tc>
        <w:tc>
          <w:tcPr>
            <w:tcW w:type="dxa" w:w="3600"/>
            <w:tcMar>
              <w:top w:type="dxa" w:w="100"/>
              <w:left w:type="dxa" w:w="120"/>
              <w:bottom w:type="dxa" w:w="100"/>
              <w:right w:type="dxa" w:w="120"/>
            </w:tcMar>
          </w:tcPr>
          <w:p>
            <w:r>
              <w:rPr>
                <w:b w:val="false"/>
                <w:bCs w:val="false"/>
                <w:color w:val="1a1a1a"/>
                <w:sz w:val="20"/>
                <w:szCs w:val="20"/>
              </w:rPr>
              <w:t xml:space="preserve">id, college_email, name, handle, bio, avatar_url, verified_at, interests[]</w:t>
            </w:r>
          </w:p>
        </w:tc>
        <w:tc>
          <w:tcPr>
            <w:tcW w:type="dxa" w:w="3826"/>
            <w:tcMar>
              <w:top w:type="dxa" w:w="100"/>
              <w:left w:type="dxa" w:w="120"/>
              <w:bottom w:type="dxa" w:w="100"/>
              <w:right w:type="dxa" w:w="120"/>
            </w:tcMar>
          </w:tcPr>
          <w:p>
            <w:r>
              <w:rPr>
                <w:b w:val="false"/>
                <w:bCs w:val="false"/>
                <w:color w:val="1a1a1a"/>
                <w:sz w:val="20"/>
                <w:szCs w:val="20"/>
              </w:rPr>
              <w:t xml:space="preserve">One row per student; handle is unique, used in profile URLs.</w:t>
            </w:r>
          </w:p>
        </w:tc>
      </w:tr>
      <w:tr>
        <w:tc>
          <w:tcPr>
            <w:tcW w:type="dxa" w:w="1600"/>
            <w:tcMar>
              <w:top w:type="dxa" w:w="100"/>
              <w:left w:type="dxa" w:w="120"/>
              <w:bottom w:type="dxa" w:w="100"/>
              <w:right w:type="dxa" w:w="120"/>
            </w:tcMar>
          </w:tcPr>
          <w:p>
            <w:r>
              <w:rPr>
                <w:b w:val="false"/>
                <w:bCs w:val="false"/>
                <w:color w:val="1a1a1a"/>
                <w:sz w:val="20"/>
                <w:szCs w:val="20"/>
              </w:rPr>
              <w:t xml:space="preserve">communities</w:t>
            </w:r>
          </w:p>
        </w:tc>
        <w:tc>
          <w:tcPr>
            <w:tcW w:type="dxa" w:w="3600"/>
            <w:tcMar>
              <w:top w:type="dxa" w:w="100"/>
              <w:left w:type="dxa" w:w="120"/>
              <w:bottom w:type="dxa" w:w="100"/>
              <w:right w:type="dxa" w:w="120"/>
            </w:tcMar>
          </w:tcPr>
          <w:p>
            <w:r>
              <w:rPr>
                <w:b w:val="false"/>
                <w:bCs w:val="false"/>
                <w:color w:val="1a1a1a"/>
                <w:sz w:val="20"/>
                <w:szCs w:val="20"/>
              </w:rPr>
              <w:t xml:space="preserve">id, name, handle, category, description, cover_url, creator_id, is_official (bool), created_at</w:t>
            </w:r>
          </w:p>
        </w:tc>
        <w:tc>
          <w:tcPr>
            <w:tcW w:type="dxa" w:w="3826"/>
            <w:tcMar>
              <w:top w:type="dxa" w:w="100"/>
              <w:left w:type="dxa" w:w="120"/>
              <w:bottom w:type="dxa" w:w="100"/>
              <w:right w:type="dxa" w:w="120"/>
            </w:tcMar>
          </w:tcPr>
          <w:p>
            <w:r>
              <w:rPr>
                <w:b w:val="false"/>
                <w:bCs w:val="false"/>
                <w:color w:val="1a1a1a"/>
                <w:sz w:val="20"/>
                <w:szCs w:val="20"/>
              </w:rPr>
              <w:t xml:space="preserve">is_official = true marks college clubs vs. student-created communities.</w:t>
            </w:r>
          </w:p>
        </w:tc>
      </w:tr>
      <w:tr>
        <w:tc>
          <w:tcPr>
            <w:tcW w:type="dxa" w:w="1600"/>
            <w:tcMar>
              <w:top w:type="dxa" w:w="100"/>
              <w:left w:type="dxa" w:w="120"/>
              <w:bottom w:type="dxa" w:w="100"/>
              <w:right w:type="dxa" w:w="120"/>
            </w:tcMar>
          </w:tcPr>
          <w:p>
            <w:r>
              <w:rPr>
                <w:b w:val="false"/>
                <w:bCs w:val="false"/>
                <w:color w:val="1a1a1a"/>
                <w:sz w:val="20"/>
                <w:szCs w:val="20"/>
              </w:rPr>
              <w:t xml:space="preserve">community_members</w:t>
            </w:r>
          </w:p>
        </w:tc>
        <w:tc>
          <w:tcPr>
            <w:tcW w:type="dxa" w:w="3600"/>
            <w:tcMar>
              <w:top w:type="dxa" w:w="100"/>
              <w:left w:type="dxa" w:w="120"/>
              <w:bottom w:type="dxa" w:w="100"/>
              <w:right w:type="dxa" w:w="120"/>
            </w:tcMar>
          </w:tcPr>
          <w:p>
            <w:r>
              <w:rPr>
                <w:b w:val="false"/>
                <w:bCs w:val="false"/>
                <w:color w:val="1a1a1a"/>
                <w:sz w:val="20"/>
                <w:szCs w:val="20"/>
              </w:rPr>
              <w:t xml:space="preserve">community_id, user_id, role, joined_at</w:t>
            </w:r>
          </w:p>
        </w:tc>
        <w:tc>
          <w:tcPr>
            <w:tcW w:type="dxa" w:w="3826"/>
            <w:tcMar>
              <w:top w:type="dxa" w:w="100"/>
              <w:left w:type="dxa" w:w="120"/>
              <w:bottom w:type="dxa" w:w="100"/>
              <w:right w:type="dxa" w:w="120"/>
            </w:tcMar>
          </w:tcPr>
          <w:p>
            <w:r>
              <w:rPr>
                <w:b w:val="false"/>
                <w:bCs w:val="false"/>
                <w:color w:val="1a1a1a"/>
                <w:sz w:val="20"/>
                <w:szCs w:val="20"/>
              </w:rPr>
              <w:t xml:space="preserve">Composite key (community_id, user_id); role = member / admin.</w:t>
            </w:r>
          </w:p>
        </w:tc>
      </w:tr>
      <w:tr>
        <w:tc>
          <w:tcPr>
            <w:tcW w:type="dxa" w:w="1600"/>
            <w:tcMar>
              <w:top w:type="dxa" w:w="100"/>
              <w:left w:type="dxa" w:w="120"/>
              <w:bottom w:type="dxa" w:w="100"/>
              <w:right w:type="dxa" w:w="120"/>
            </w:tcMar>
          </w:tcPr>
          <w:p>
            <w:r>
              <w:rPr>
                <w:b w:val="false"/>
                <w:bCs w:val="false"/>
                <w:color w:val="1a1a1a"/>
                <w:sz w:val="20"/>
                <w:szCs w:val="20"/>
              </w:rPr>
              <w:t xml:space="preserve">posts</w:t>
            </w:r>
          </w:p>
        </w:tc>
        <w:tc>
          <w:tcPr>
            <w:tcW w:type="dxa" w:w="3600"/>
            <w:tcMar>
              <w:top w:type="dxa" w:w="100"/>
              <w:left w:type="dxa" w:w="120"/>
              <w:bottom w:type="dxa" w:w="100"/>
              <w:right w:type="dxa" w:w="120"/>
            </w:tcMar>
          </w:tcPr>
          <w:p>
            <w:r>
              <w:rPr>
                <w:b w:val="false"/>
                <w:bCs w:val="false"/>
                <w:color w:val="1a1a1a"/>
                <w:sz w:val="20"/>
                <w:szCs w:val="20"/>
              </w:rPr>
              <w:t xml:space="preserve">id, community_id, author_id, text, media_url, created_at</w:t>
            </w:r>
          </w:p>
        </w:tc>
        <w:tc>
          <w:tcPr>
            <w:tcW w:type="dxa" w:w="3826"/>
            <w:tcMar>
              <w:top w:type="dxa" w:w="100"/>
              <w:left w:type="dxa" w:w="120"/>
              <w:bottom w:type="dxa" w:w="100"/>
              <w:right w:type="dxa" w:w="120"/>
            </w:tcMar>
          </w:tcPr>
          <w:p>
            <w:r>
              <w:rPr>
                <w:b w:val="false"/>
                <w:bCs w:val="false"/>
                <w:color w:val="1a1a1a"/>
                <w:sz w:val="20"/>
                <w:szCs w:val="20"/>
              </w:rPr>
              <w:t xml:space="preserve">Feed posts inside a community/club.</w:t>
            </w:r>
          </w:p>
        </w:tc>
      </w:tr>
      <w:tr>
        <w:tc>
          <w:tcPr>
            <w:tcW w:type="dxa" w:w="1600"/>
            <w:tcMar>
              <w:top w:type="dxa" w:w="100"/>
              <w:left w:type="dxa" w:w="120"/>
              <w:bottom w:type="dxa" w:w="100"/>
              <w:right w:type="dxa" w:w="120"/>
            </w:tcMar>
          </w:tcPr>
          <w:p>
            <w:r>
              <w:rPr>
                <w:b w:val="false"/>
                <w:bCs w:val="false"/>
                <w:color w:val="1a1a1a"/>
                <w:sz w:val="20"/>
                <w:szCs w:val="20"/>
              </w:rPr>
              <w:t xml:space="preserve">messages</w:t>
            </w:r>
          </w:p>
        </w:tc>
        <w:tc>
          <w:tcPr>
            <w:tcW w:type="dxa" w:w="3600"/>
            <w:tcMar>
              <w:top w:type="dxa" w:w="100"/>
              <w:left w:type="dxa" w:w="120"/>
              <w:bottom w:type="dxa" w:w="100"/>
              <w:right w:type="dxa" w:w="120"/>
            </w:tcMar>
          </w:tcPr>
          <w:p>
            <w:r>
              <w:rPr>
                <w:b w:val="false"/>
                <w:bCs w:val="false"/>
                <w:color w:val="1a1a1a"/>
                <w:sz w:val="20"/>
                <w:szCs w:val="20"/>
              </w:rPr>
              <w:t xml:space="preserve">id, community_id OR thread_id, sender_id, text, created_at</w:t>
            </w:r>
          </w:p>
        </w:tc>
        <w:tc>
          <w:tcPr>
            <w:tcW w:type="dxa" w:w="3826"/>
            <w:tcMar>
              <w:top w:type="dxa" w:w="100"/>
              <w:left w:type="dxa" w:w="120"/>
              <w:bottom w:type="dxa" w:w="100"/>
              <w:right w:type="dxa" w:w="120"/>
            </w:tcMar>
          </w:tcPr>
          <w:p>
            <w:r>
              <w:rPr>
                <w:b w:val="false"/>
                <w:bCs w:val="false"/>
                <w:color w:val="1a1a1a"/>
                <w:sz w:val="20"/>
                <w:szCs w:val="20"/>
              </w:rPr>
              <w:t xml:space="preserve">Community chat rows reference community_id; DMs reference a thread_id (see dm_threads).</w:t>
            </w:r>
          </w:p>
        </w:tc>
      </w:tr>
      <w:tr>
        <w:tc>
          <w:tcPr>
            <w:tcW w:type="dxa" w:w="1600"/>
            <w:tcMar>
              <w:top w:type="dxa" w:w="100"/>
              <w:left w:type="dxa" w:w="120"/>
              <w:bottom w:type="dxa" w:w="100"/>
              <w:right w:type="dxa" w:w="120"/>
            </w:tcMar>
          </w:tcPr>
          <w:p>
            <w:r>
              <w:rPr>
                <w:b w:val="false"/>
                <w:bCs w:val="false"/>
                <w:color w:val="1a1a1a"/>
                <w:sz w:val="20"/>
                <w:szCs w:val="20"/>
              </w:rPr>
              <w:t xml:space="preserve">dm_threads / dm_participants</w:t>
            </w:r>
          </w:p>
        </w:tc>
        <w:tc>
          <w:tcPr>
            <w:tcW w:type="dxa" w:w="3600"/>
            <w:tcMar>
              <w:top w:type="dxa" w:w="100"/>
              <w:left w:type="dxa" w:w="120"/>
              <w:bottom w:type="dxa" w:w="100"/>
              <w:right w:type="dxa" w:w="120"/>
            </w:tcMar>
          </w:tcPr>
          <w:p>
            <w:r>
              <w:rPr>
                <w:b w:val="false"/>
                <w:bCs w:val="false"/>
                <w:color w:val="1a1a1a"/>
                <w:sz w:val="20"/>
                <w:szCs w:val="20"/>
              </w:rPr>
              <w:t xml:space="preserve">thread_id; user_id, thread_id</w:t>
            </w:r>
          </w:p>
        </w:tc>
        <w:tc>
          <w:tcPr>
            <w:tcW w:type="dxa" w:w="3826"/>
            <w:tcMar>
              <w:top w:type="dxa" w:w="100"/>
              <w:left w:type="dxa" w:w="120"/>
              <w:bottom w:type="dxa" w:w="100"/>
              <w:right w:type="dxa" w:w="120"/>
            </w:tcMar>
          </w:tcPr>
          <w:p>
            <w:r>
              <w:rPr>
                <w:b w:val="false"/>
                <w:bCs w:val="false"/>
                <w:color w:val="1a1a1a"/>
                <w:sz w:val="20"/>
                <w:szCs w:val="20"/>
              </w:rPr>
              <w:t xml:space="preserve">Direct-message threads; kept separate from community messaging.</w:t>
            </w:r>
          </w:p>
        </w:tc>
      </w:tr>
      <w:tr>
        <w:tc>
          <w:tcPr>
            <w:tcW w:type="dxa" w:w="1600"/>
            <w:tcMar>
              <w:top w:type="dxa" w:w="100"/>
              <w:left w:type="dxa" w:w="120"/>
              <w:bottom w:type="dxa" w:w="100"/>
              <w:right w:type="dxa" w:w="120"/>
            </w:tcMar>
          </w:tcPr>
          <w:p>
            <w:r>
              <w:rPr>
                <w:b w:val="false"/>
                <w:bCs w:val="false"/>
                <w:color w:val="1a1a1a"/>
                <w:sz w:val="20"/>
                <w:szCs w:val="20"/>
              </w:rPr>
              <w:t xml:space="preserve">chat_requests</w:t>
            </w:r>
          </w:p>
        </w:tc>
        <w:tc>
          <w:tcPr>
            <w:tcW w:type="dxa" w:w="3600"/>
            <w:tcMar>
              <w:top w:type="dxa" w:w="100"/>
              <w:left w:type="dxa" w:w="120"/>
              <w:bottom w:type="dxa" w:w="100"/>
              <w:right w:type="dxa" w:w="120"/>
            </w:tcMar>
          </w:tcPr>
          <w:p>
            <w:r>
              <w:rPr>
                <w:b w:val="false"/>
                <w:bCs w:val="false"/>
                <w:color w:val="1a1a1a"/>
                <w:sz w:val="20"/>
                <w:szCs w:val="20"/>
              </w:rPr>
              <w:t xml:space="preserve">id, from_user_id, to_user_id, status, created_at</w:t>
            </w:r>
          </w:p>
        </w:tc>
        <w:tc>
          <w:tcPr>
            <w:tcW w:type="dxa" w:w="3826"/>
            <w:tcMar>
              <w:top w:type="dxa" w:w="100"/>
              <w:left w:type="dxa" w:w="120"/>
              <w:bottom w:type="dxa" w:w="100"/>
              <w:right w:type="dxa" w:w="120"/>
            </w:tcMar>
          </w:tcPr>
          <w:p>
            <w:r>
              <w:rPr>
                <w:b w:val="false"/>
                <w:bCs w:val="false"/>
                <w:color w:val="1a1a1a"/>
                <w:sz w:val="20"/>
                <w:szCs w:val="20"/>
              </w:rPr>
              <w:t xml:space="preserve">Pending/accepted/declined DM requests.</w:t>
            </w:r>
          </w:p>
        </w:tc>
      </w:tr>
      <w:tr>
        <w:tc>
          <w:tcPr>
            <w:tcW w:type="dxa" w:w="1600"/>
            <w:tcMar>
              <w:top w:type="dxa" w:w="100"/>
              <w:left w:type="dxa" w:w="120"/>
              <w:bottom w:type="dxa" w:w="100"/>
              <w:right w:type="dxa" w:w="120"/>
            </w:tcMar>
          </w:tcPr>
          <w:p>
            <w:r>
              <w:rPr>
                <w:b w:val="false"/>
                <w:bCs w:val="false"/>
                <w:color w:val="1a1a1a"/>
                <w:sz w:val="20"/>
                <w:szCs w:val="20"/>
              </w:rPr>
              <w:t xml:space="preserve">events</w:t>
            </w:r>
          </w:p>
        </w:tc>
        <w:tc>
          <w:tcPr>
            <w:tcW w:type="dxa" w:w="3600"/>
            <w:tcMar>
              <w:top w:type="dxa" w:w="100"/>
              <w:left w:type="dxa" w:w="120"/>
              <w:bottom w:type="dxa" w:w="100"/>
              <w:right w:type="dxa" w:w="120"/>
            </w:tcMar>
          </w:tcPr>
          <w:p>
            <w:r>
              <w:rPr>
                <w:b w:val="false"/>
                <w:bCs w:val="false"/>
                <w:color w:val="1a1a1a"/>
                <w:sz w:val="20"/>
                <w:szCs w:val="20"/>
              </w:rPr>
              <w:t xml:space="preserve">id, title, description, category, cover_url, starts_at, location, community_id, created_by</w:t>
            </w:r>
          </w:p>
        </w:tc>
        <w:tc>
          <w:tcPr>
            <w:tcW w:type="dxa" w:w="3826"/>
            <w:tcMar>
              <w:top w:type="dxa" w:w="100"/>
              <w:left w:type="dxa" w:w="120"/>
              <w:bottom w:type="dxa" w:w="100"/>
              <w:right w:type="dxa" w:w="120"/>
            </w:tcMar>
          </w:tcPr>
          <w:p>
            <w:r>
              <w:rPr>
                <w:b w:val="false"/>
                <w:bCs w:val="false"/>
                <w:color w:val="1a1a1a"/>
                <w:sz w:val="20"/>
                <w:szCs w:val="20"/>
              </w:rPr>
              <w:t xml:space="preserve">community_id links to an auto-created or existing community granted on registration.</w:t>
            </w:r>
          </w:p>
        </w:tc>
      </w:tr>
      <w:tr>
        <w:tc>
          <w:tcPr>
            <w:tcW w:type="dxa" w:w="1600"/>
            <w:tcMar>
              <w:top w:type="dxa" w:w="100"/>
              <w:left w:type="dxa" w:w="120"/>
              <w:bottom w:type="dxa" w:w="100"/>
              <w:right w:type="dxa" w:w="120"/>
            </w:tcMar>
          </w:tcPr>
          <w:p>
            <w:r>
              <w:rPr>
                <w:b w:val="false"/>
                <w:bCs w:val="false"/>
                <w:color w:val="1a1a1a"/>
                <w:sz w:val="20"/>
                <w:szCs w:val="20"/>
              </w:rPr>
              <w:t xml:space="preserve">event_registrations</w:t>
            </w:r>
          </w:p>
        </w:tc>
        <w:tc>
          <w:tcPr>
            <w:tcW w:type="dxa" w:w="3600"/>
            <w:tcMar>
              <w:top w:type="dxa" w:w="100"/>
              <w:left w:type="dxa" w:w="120"/>
              <w:bottom w:type="dxa" w:w="100"/>
              <w:right w:type="dxa" w:w="120"/>
            </w:tcMar>
          </w:tcPr>
          <w:p>
            <w:r>
              <w:rPr>
                <w:b w:val="false"/>
                <w:bCs w:val="false"/>
                <w:color w:val="1a1a1a"/>
                <w:sz w:val="20"/>
                <w:szCs w:val="20"/>
              </w:rPr>
              <w:t xml:space="preserve">event_id, user_id, registered_at</w:t>
            </w:r>
          </w:p>
        </w:tc>
        <w:tc>
          <w:tcPr>
            <w:tcW w:type="dxa" w:w="3826"/>
            <w:tcMar>
              <w:top w:type="dxa" w:w="100"/>
              <w:left w:type="dxa" w:w="120"/>
              <w:bottom w:type="dxa" w:w="100"/>
              <w:right w:type="dxa" w:w="120"/>
            </w:tcMar>
          </w:tcPr>
          <w:p>
            <w:r>
              <w:rPr>
                <w:b w:val="false"/>
                <w:bCs w:val="false"/>
                <w:color w:val="1a1a1a"/>
                <w:sz w:val="20"/>
                <w:szCs w:val="20"/>
              </w:rPr>
              <w:t xml:space="preserve">Registering inserts here AND adds the user to the event's community_members.</w:t>
            </w:r>
          </w:p>
        </w:tc>
      </w:tr>
      <w:tr>
        <w:tc>
          <w:tcPr>
            <w:tcW w:type="dxa" w:w="1600"/>
            <w:tcMar>
              <w:top w:type="dxa" w:w="100"/>
              <w:left w:type="dxa" w:w="120"/>
              <w:bottom w:type="dxa" w:w="100"/>
              <w:right w:type="dxa" w:w="120"/>
            </w:tcMar>
          </w:tcPr>
          <w:p>
            <w:r>
              <w:rPr>
                <w:b w:val="false"/>
                <w:bCs w:val="false"/>
                <w:color w:val="1a1a1a"/>
                <w:sz w:val="20"/>
                <w:szCs w:val="20"/>
              </w:rPr>
              <w:t xml:space="preserve">notifications</w:t>
            </w:r>
          </w:p>
        </w:tc>
        <w:tc>
          <w:tcPr>
            <w:tcW w:type="dxa" w:w="3600"/>
            <w:tcMar>
              <w:top w:type="dxa" w:w="100"/>
              <w:left w:type="dxa" w:w="120"/>
              <w:bottom w:type="dxa" w:w="100"/>
              <w:right w:type="dxa" w:w="120"/>
            </w:tcMar>
          </w:tcPr>
          <w:p>
            <w:r>
              <w:rPr>
                <w:b w:val="false"/>
                <w:bCs w:val="false"/>
                <w:color w:val="1a1a1a"/>
                <w:sz w:val="20"/>
                <w:szCs w:val="20"/>
              </w:rPr>
              <w:t xml:space="preserve">id, user_id, type, payload, read_at, created_at</w:t>
            </w:r>
          </w:p>
        </w:tc>
        <w:tc>
          <w:tcPr>
            <w:tcW w:type="dxa" w:w="3826"/>
            <w:tcMar>
              <w:top w:type="dxa" w:w="100"/>
              <w:left w:type="dxa" w:w="120"/>
              <w:bottom w:type="dxa" w:w="100"/>
              <w:right w:type="dxa" w:w="120"/>
            </w:tcMar>
          </w:tcPr>
          <w:p>
            <w:r>
              <w:rPr>
                <w:b w:val="false"/>
                <w:bCs w:val="false"/>
                <w:color w:val="1a1a1a"/>
                <w:sz w:val="20"/>
                <w:szCs w:val="20"/>
              </w:rPr>
              <w:t xml:space="preserve">Feeds the notification bell.</w:t>
            </w:r>
          </w:p>
        </w:tc>
      </w:tr>
      <w:tr>
        <w:tc>
          <w:tcPr>
            <w:tcW w:type="dxa" w:w="1600"/>
            <w:tcMar>
              <w:top w:type="dxa" w:w="100"/>
              <w:left w:type="dxa" w:w="120"/>
              <w:bottom w:type="dxa" w:w="100"/>
              <w:right w:type="dxa" w:w="120"/>
            </w:tcMar>
          </w:tcPr>
          <w:p>
            <w:r>
              <w:rPr>
                <w:b w:val="false"/>
                <w:bCs w:val="false"/>
                <w:color w:val="1a1a1a"/>
                <w:sz w:val="20"/>
                <w:szCs w:val="20"/>
              </w:rPr>
              <w:t xml:space="preserve">reports</w:t>
            </w:r>
          </w:p>
        </w:tc>
        <w:tc>
          <w:tcPr>
            <w:tcW w:type="dxa" w:w="3600"/>
            <w:tcMar>
              <w:top w:type="dxa" w:w="100"/>
              <w:left w:type="dxa" w:w="120"/>
              <w:bottom w:type="dxa" w:w="100"/>
              <w:right w:type="dxa" w:w="120"/>
            </w:tcMar>
          </w:tcPr>
          <w:p>
            <w:r>
              <w:rPr>
                <w:b w:val="false"/>
                <w:bCs w:val="false"/>
                <w:color w:val="1a1a1a"/>
                <w:sz w:val="20"/>
                <w:szCs w:val="20"/>
              </w:rPr>
              <w:t xml:space="preserve">id, target_type, target_id, reporter_id, reason, status, created_at</w:t>
            </w:r>
          </w:p>
        </w:tc>
        <w:tc>
          <w:tcPr>
            <w:tcW w:type="dxa" w:w="3826"/>
            <w:tcMar>
              <w:top w:type="dxa" w:w="100"/>
              <w:left w:type="dxa" w:w="120"/>
              <w:bottom w:type="dxa" w:w="100"/>
              <w:right w:type="dxa" w:w="120"/>
            </w:tcMar>
          </w:tcPr>
          <w:p>
            <w:r>
              <w:rPr>
                <w:b w:val="false"/>
                <w:bCs w:val="false"/>
                <w:color w:val="1a1a1a"/>
                <w:sz w:val="20"/>
                <w:szCs w:val="20"/>
              </w:rPr>
              <w:t xml:space="preserve">Moderation queue for the in-app report flow.</w:t>
            </w:r>
          </w:p>
        </w:tc>
      </w:tr>
    </w:tbl>
    <w:p>
      <w:pPr>
        <w:spacing w:after="120"/>
      </w:pPr>
      <w:r>
        <w:t xml:space="preserve">Row-Level Security (RLS) is enabled on every table from day one — e.g. a student can only read messages in communities they belong to, only edit their own profile/posts, and only see reports if they're granted a moderator role.</w:t>
      </w:r>
    </w:p>
    <w:p>
      <w:pPr>
        <w:pStyle w:val="Heading1"/>
        <w:spacing w:after="160" w:before="320"/>
      </w:pPr>
      <w:r>
        <w:t xml:space="preserve">5. Realtime &amp; chat</w:t>
      </w:r>
    </w:p>
    <w:p>
      <w:pPr>
        <w:pStyle w:val="ListParagraph"/>
        <w:numPr>
          <w:ilvl w:val="0"/>
          <w:numId w:val="2"/>
        </w:numPr>
        <w:spacing w:after="60"/>
      </w:pPr>
      <w:r>
        <w:t xml:space="preserve">Community/club chat subscribes to Postgres changes on messages filtered by community_id — no separate chat server.</w:t>
      </w:r>
    </w:p>
    <w:p>
      <w:pPr>
        <w:pStyle w:val="ListParagraph"/>
        <w:numPr>
          <w:ilvl w:val="0"/>
          <w:numId w:val="2"/>
        </w:numPr>
        <w:spacing w:after="60"/>
      </w:pPr>
      <w:r>
        <w:t xml:space="preserve">DMs work the same way, filtered by thread_id.</w:t>
      </w:r>
    </w:p>
    <w:p>
      <w:pPr>
        <w:pStyle w:val="ListParagraph"/>
        <w:numPr>
          <w:ilvl w:val="0"/>
          <w:numId w:val="2"/>
        </w:numPr>
        <w:spacing w:after="60"/>
      </w:pPr>
      <w:r>
        <w:t xml:space="preserve">“Active now” / presence uses Supabase Realtime's Presence feature (ephemeral, not stored in Postgres).</w:t>
      </w:r>
    </w:p>
    <w:p>
      <w:pPr>
        <w:pStyle w:val="Heading1"/>
        <w:spacing w:after="160" w:before="320"/>
      </w:pPr>
      <w:r>
        <w:t xml:space="preserve">6. Events ↔ community linkage</w:t>
      </w:r>
    </w:p>
    <w:p>
      <w:pPr>
        <w:spacing w:after="120"/>
      </w:pPr>
      <w:r>
        <w:t xml:space="preserve">Registration, listing, and community access are one flow, not three features: creating an event optionally creates a linked community (or links to an existing club/community). Registering for the event inserts an event_registrations row and a community_members row in the same transaction, so the student gets feed/chat access immediately on registering — no separate “join” step.</w:t>
      </w:r>
    </w:p>
    <w:p>
      <w:pPr>
        <w:pStyle w:val="Heading1"/>
        <w:spacing w:after="160" w:before="320"/>
      </w:pPr>
      <w:r>
        <w:t xml:space="preserve">7. Scaling plan for 10,000 students</w:t>
      </w:r>
    </w:p>
    <w:p>
      <w:pPr>
        <w:spacing w:after="120"/>
      </w:pPr>
      <w:r>
        <w:t xml:space="preserve">Numbers below are Supabase's and Vercel's published 2026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42"/>
        <w:gridCol w:w="2192"/>
        <w:gridCol w:w="2192"/>
      </w:tblGrid>
      <w:tr>
        <w:tc>
          <w:tcPr>
            <w:tcW w:type="dxa" w:w="2400"/>
            <w:shd w:fill="1F2937" w:val="clear"/>
            <w:tcMar>
              <w:top w:type="dxa" w:w="100"/>
              <w:left w:type="dxa" w:w="120"/>
              <w:bottom w:type="dxa" w:w="100"/>
              <w:right w:type="dxa" w:w="120"/>
            </w:tcMar>
          </w:tcPr>
          <w:p>
            <w:r>
              <w:rPr>
                <w:b/>
                <w:bCs/>
                <w:color w:val="FFFFFF"/>
                <w:sz w:val="20"/>
                <w:szCs w:val="20"/>
              </w:rPr>
              <w:t xml:space="preserve">Stage</w:t>
            </w:r>
          </w:p>
        </w:tc>
        <w:tc>
          <w:tcPr>
            <w:tcW w:type="dxa" w:w="2242"/>
            <w:shd w:fill="1F2937" w:val="clear"/>
            <w:tcMar>
              <w:top w:type="dxa" w:w="100"/>
              <w:left w:type="dxa" w:w="120"/>
              <w:bottom w:type="dxa" w:w="100"/>
              <w:right w:type="dxa" w:w="120"/>
            </w:tcMar>
          </w:tcPr>
          <w:p>
            <w:r>
              <w:rPr>
                <w:b/>
                <w:bCs/>
                <w:color w:val="FFFFFF"/>
                <w:sz w:val="20"/>
                <w:szCs w:val="20"/>
              </w:rPr>
              <w:t xml:space="preserve">Supabase tier</w:t>
            </w:r>
          </w:p>
        </w:tc>
        <w:tc>
          <w:tcPr>
            <w:tcW w:type="dxa" w:w="2192"/>
            <w:shd w:fill="1F2937" w:val="clear"/>
            <w:tcMar>
              <w:top w:type="dxa" w:w="100"/>
              <w:left w:type="dxa" w:w="120"/>
              <w:bottom w:type="dxa" w:w="100"/>
              <w:right w:type="dxa" w:w="120"/>
            </w:tcMar>
          </w:tcPr>
          <w:p>
            <w:r>
              <w:rPr>
                <w:b/>
                <w:bCs/>
                <w:color w:val="FFFFFF"/>
                <w:sz w:val="20"/>
                <w:szCs w:val="20"/>
              </w:rPr>
              <w:t xml:space="preserve">Vercel tier</w:t>
            </w:r>
          </w:p>
        </w:tc>
        <w:tc>
          <w:tcPr>
            <w:tcW w:type="dxa" w:w="2192"/>
            <w:shd w:fill="1F2937" w:val="clear"/>
            <w:tcMar>
              <w:top w:type="dxa" w:w="100"/>
              <w:left w:type="dxa" w:w="120"/>
              <w:bottom w:type="dxa" w:w="100"/>
              <w:right w:type="dxa" w:w="120"/>
            </w:tcMar>
          </w:tcPr>
          <w:p>
            <w:r>
              <w:rPr>
                <w:b/>
                <w:bCs/>
                <w:color w:val="FFFFFF"/>
                <w:sz w:val="20"/>
                <w:szCs w:val="20"/>
              </w:rPr>
              <w:t xml:space="preserve">What it covers</w:t>
            </w:r>
          </w:p>
        </w:tc>
      </w:tr>
      <w:tr>
        <w:tc>
          <w:tcPr>
            <w:tcW w:type="dxa" w:w="2400"/>
            <w:tcMar>
              <w:top w:type="dxa" w:w="100"/>
              <w:left w:type="dxa" w:w="120"/>
              <w:bottom w:type="dxa" w:w="100"/>
              <w:right w:type="dxa" w:w="120"/>
            </w:tcMar>
          </w:tcPr>
          <w:p>
            <w:r>
              <w:rPr>
                <w:b w:val="false"/>
                <w:bCs w:val="false"/>
                <w:color w:val="1a1a1a"/>
                <w:sz w:val="20"/>
                <w:szCs w:val="20"/>
              </w:rPr>
              <w:t xml:space="preserve">0 – ~2,000 users</w:t>
            </w:r>
          </w:p>
        </w:tc>
        <w:tc>
          <w:tcPr>
            <w:tcW w:type="dxa" w:w="2242"/>
            <w:tcMar>
              <w:top w:type="dxa" w:w="100"/>
              <w:left w:type="dxa" w:w="120"/>
              <w:bottom w:type="dxa" w:w="100"/>
              <w:right w:type="dxa" w:w="120"/>
            </w:tcMar>
          </w:tcPr>
          <w:p>
            <w:r>
              <w:rPr>
                <w:b w:val="false"/>
                <w:bCs w:val="false"/>
                <w:color w:val="1a1a1a"/>
                <w:sz w:val="20"/>
                <w:szCs w:val="20"/>
              </w:rPr>
              <w:t xml:space="preserve">Free (500MB DB, 200 concurrent realtime, 50K MAU)</w:t>
            </w:r>
          </w:p>
        </w:tc>
        <w:tc>
          <w:tcPr>
            <w:tcW w:type="dxa" w:w="2192"/>
            <w:tcMar>
              <w:top w:type="dxa" w:w="100"/>
              <w:left w:type="dxa" w:w="120"/>
              <w:bottom w:type="dxa" w:w="100"/>
              <w:right w:type="dxa" w:w="120"/>
            </w:tcMar>
          </w:tcPr>
          <w:p>
            <w:r>
              <w:rPr>
                <w:b w:val="false"/>
                <w:bCs w:val="false"/>
                <w:color w:val="1a1a1a"/>
                <w:sz w:val="20"/>
                <w:szCs w:val="20"/>
              </w:rPr>
              <w:t xml:space="preserve">Free (Hobby, 100GB bandwidth)</w:t>
            </w:r>
          </w:p>
        </w:tc>
        <w:tc>
          <w:tcPr>
            <w:tcW w:type="dxa" w:w="2192"/>
            <w:tcMar>
              <w:top w:type="dxa" w:w="100"/>
              <w:left w:type="dxa" w:w="120"/>
              <w:bottom w:type="dxa" w:w="100"/>
              <w:right w:type="dxa" w:w="120"/>
            </w:tcMar>
          </w:tcPr>
          <w:p>
            <w:r>
              <w:rPr>
                <w:b w:val="false"/>
                <w:bCs w:val="false"/>
                <w:color w:val="1a1a1a"/>
                <w:sz w:val="20"/>
                <w:szCs w:val="20"/>
              </w:rPr>
              <w:t xml:space="preserve">Comfortable for orientation/early-launch traffic, as long as it's non-commercial (no ads shown yet).</w:t>
            </w:r>
          </w:p>
        </w:tc>
      </w:tr>
      <w:tr>
        <w:tc>
          <w:tcPr>
            <w:tcW w:type="dxa" w:w="2400"/>
            <w:tcMar>
              <w:top w:type="dxa" w:w="100"/>
              <w:left w:type="dxa" w:w="120"/>
              <w:bottom w:type="dxa" w:w="100"/>
              <w:right w:type="dxa" w:w="120"/>
            </w:tcMar>
          </w:tcPr>
          <w:p>
            <w:r>
              <w:rPr>
                <w:b w:val="false"/>
                <w:bCs w:val="false"/>
                <w:color w:val="1a1a1a"/>
                <w:sz w:val="20"/>
                <w:szCs w:val="20"/>
              </w:rPr>
              <w:t xml:space="preserve">~2,000 – 10,000 users</w:t>
            </w:r>
          </w:p>
        </w:tc>
        <w:tc>
          <w:tcPr>
            <w:tcW w:type="dxa" w:w="2242"/>
            <w:tcMar>
              <w:top w:type="dxa" w:w="100"/>
              <w:left w:type="dxa" w:w="120"/>
              <w:bottom w:type="dxa" w:w="100"/>
              <w:right w:type="dxa" w:w="120"/>
            </w:tcMar>
          </w:tcPr>
          <w:p>
            <w:r>
              <w:rPr>
                <w:b w:val="false"/>
                <w:bCs w:val="false"/>
                <w:color w:val="1a1a1a"/>
                <w:sz w:val="20"/>
                <w:szCs w:val="20"/>
              </w:rPr>
              <w:t xml:space="preserve">Pro ($25/mo: 8GB DB, 500 concurrent realtime, 100K MAU)</w:t>
            </w:r>
          </w:p>
        </w:tc>
        <w:tc>
          <w:tcPr>
            <w:tcW w:type="dxa" w:w="2192"/>
            <w:tcMar>
              <w:top w:type="dxa" w:w="100"/>
              <w:left w:type="dxa" w:w="120"/>
              <w:bottom w:type="dxa" w:w="100"/>
              <w:right w:type="dxa" w:w="120"/>
            </w:tcMar>
          </w:tcPr>
          <w:p>
            <w:r>
              <w:rPr>
                <w:b w:val="false"/>
                <w:bCs w:val="false"/>
                <w:color w:val="1a1a1a"/>
                <w:sz w:val="20"/>
                <w:szCs w:val="20"/>
              </w:rPr>
              <w:t xml:space="preserve">Pro ($20/seat/mo: 1TB bandwidth, commercial use allowed)</w:t>
            </w:r>
          </w:p>
        </w:tc>
        <w:tc>
          <w:tcPr>
            <w:tcW w:type="dxa" w:w="2192"/>
            <w:tcMar>
              <w:top w:type="dxa" w:w="100"/>
              <w:left w:type="dxa" w:w="120"/>
              <w:bottom w:type="dxa" w:w="100"/>
              <w:right w:type="dxa" w:w="120"/>
            </w:tcMar>
          </w:tcPr>
          <w:p>
            <w:r>
              <w:rPr>
                <w:b w:val="false"/>
                <w:bCs w:val="false"/>
                <w:color w:val="1a1a1a"/>
                <w:sz w:val="20"/>
                <w:szCs w:val="20"/>
              </w:rPr>
              <w:t xml:space="preserve">Needed once ads/sponsored posts go live (Vercel Hobby is non-commercial-only) and once concurrent chat users regularly exceed ~200.</w:t>
            </w:r>
          </w:p>
        </w:tc>
      </w:tr>
      <w:tr>
        <w:tc>
          <w:tcPr>
            <w:tcW w:type="dxa" w:w="2400"/>
            <w:tcMar>
              <w:top w:type="dxa" w:w="100"/>
              <w:left w:type="dxa" w:w="120"/>
              <w:bottom w:type="dxa" w:w="100"/>
              <w:right w:type="dxa" w:w="120"/>
            </w:tcMar>
          </w:tcPr>
          <w:p>
            <w:r>
              <w:rPr>
                <w:b w:val="false"/>
                <w:bCs w:val="false"/>
                <w:color w:val="1a1a1a"/>
                <w:sz w:val="20"/>
                <w:szCs w:val="20"/>
              </w:rPr>
              <w:t xml:space="preserve">Beyond 10,000</w:t>
            </w:r>
          </w:p>
        </w:tc>
        <w:tc>
          <w:tcPr>
            <w:tcW w:type="dxa" w:w="2242"/>
            <w:tcMar>
              <w:top w:type="dxa" w:w="100"/>
              <w:left w:type="dxa" w:w="120"/>
              <w:bottom w:type="dxa" w:w="100"/>
              <w:right w:type="dxa" w:w="120"/>
            </w:tcMar>
          </w:tcPr>
          <w:p>
            <w:r>
              <w:rPr>
                <w:b w:val="false"/>
                <w:bCs w:val="false"/>
                <w:color w:val="1a1a1a"/>
                <w:sz w:val="20"/>
                <w:szCs w:val="20"/>
              </w:rPr>
              <w:t xml:space="preserve">Usage-based add-ons on Pro (extra realtime connections at $10/1,000; extra storage/egress as needed)</w:t>
            </w:r>
          </w:p>
        </w:tc>
        <w:tc>
          <w:tcPr>
            <w:tcW w:type="dxa" w:w="2192"/>
            <w:tcMar>
              <w:top w:type="dxa" w:w="100"/>
              <w:left w:type="dxa" w:w="120"/>
              <w:bottom w:type="dxa" w:w="100"/>
              <w:right w:type="dxa" w:w="120"/>
            </w:tcMar>
          </w:tcPr>
          <w:p>
            <w:r>
              <w:rPr>
                <w:b w:val="false"/>
                <w:bCs w:val="false"/>
                <w:color w:val="1a1a1a"/>
                <w:sz w:val="20"/>
                <w:szCs w:val="20"/>
              </w:rPr>
              <w:t xml:space="preserve">Same Pro plan, usage-based overages</w:t>
            </w:r>
          </w:p>
        </w:tc>
        <w:tc>
          <w:tcPr>
            <w:tcW w:type="dxa" w:w="2192"/>
            <w:tcMar>
              <w:top w:type="dxa" w:w="100"/>
              <w:left w:type="dxa" w:w="120"/>
              <w:bottom w:type="dxa" w:w="100"/>
              <w:right w:type="dxa" w:w="120"/>
            </w:tcMar>
          </w:tcPr>
          <w:p>
            <w:r>
              <w:rPr>
                <w:b w:val="false"/>
                <w:bCs w:val="false"/>
                <w:color w:val="1a1a1a"/>
                <w:sz w:val="20"/>
                <w:szCs w:val="20"/>
              </w:rPr>
              <w:t xml:space="preserve">No re-architecture needed — same stack, pay for more headroom.</w:t>
            </w:r>
          </w:p>
        </w:tc>
      </w:tr>
    </w:tbl>
    <w:p>
      <w:pPr>
        <w:spacing w:after="120"/>
      </w:pPr>
      <w:r>
        <w:t xml:space="preserve">Practical read: free tier is fine for a soft/friends-and-family launch; budget for Supabase Pro + Vercel Pro (~$45/month) by the time the app is promoted campus-wide, mainly because of the 200-concurrent-realtime-connection cap on the free tier and Vercel's non-commercial restriction once sponsored content ships.</w:t>
      </w:r>
    </w:p>
    <w:p>
      <w:pPr>
        <w:pStyle w:val="Heading1"/>
        <w:spacing w:after="160" w:before="320"/>
      </w:pPr>
      <w:r>
        <w:t xml:space="preserve">8. Media &amp; storage</w:t>
      </w:r>
    </w:p>
    <w:p>
      <w:pPr>
        <w:pStyle w:val="ListParagraph"/>
        <w:numPr>
          <w:ilvl w:val="0"/>
          <w:numId w:val="2"/>
        </w:numPr>
        <w:spacing w:after="60"/>
      </w:pPr>
      <w:r>
        <w:t xml:space="preserve">Profile photos/videos, post media, and club/event cover images go in Supabase Storage buckets, one bucket per media type, with RLS policies mirroring the DB (e.g. only community members can read that community's post media if the community is private).</w:t>
      </w:r>
    </w:p>
    <w:p>
      <w:pPr>
        <w:pStyle w:val="ListParagraph"/>
        <w:numPr>
          <w:ilvl w:val="0"/>
          <w:numId w:val="2"/>
        </w:numPr>
        <w:spacing w:after="60"/>
      </w:pPr>
      <w:r>
        <w:t xml:space="preserve">Client-side image compression before upload (e.g. resize to a max 1600px edge) to keep the 1GB free-tier storage allowance from filling up quickly.</w:t>
      </w:r>
    </w:p>
    <w:p>
      <w:pPr>
        <w:pStyle w:val="Heading1"/>
        <w:spacing w:after="160" w:before="320"/>
      </w:pPr>
      <w:r>
        <w:t xml:space="preserve">9. Security &amp; moderation</w:t>
      </w:r>
    </w:p>
    <w:p>
      <w:pPr>
        <w:pStyle w:val="ListParagraph"/>
        <w:numPr>
          <w:ilvl w:val="0"/>
          <w:numId w:val="2"/>
        </w:numPr>
        <w:spacing w:after="60"/>
      </w:pPr>
      <w:r>
        <w:t xml:space="preserve">RLS on every table (Section 4) is the primary access-control layer — not just app-level checks.</w:t>
      </w:r>
    </w:p>
    <w:p>
      <w:pPr>
        <w:pStyle w:val="ListParagraph"/>
        <w:numPr>
          <w:ilvl w:val="0"/>
          <w:numId w:val="2"/>
        </w:numPr>
        <w:spacing w:after="60"/>
      </w:pPr>
      <w:r>
        <w:t xml:space="preserve">reports table + a simple admin view (can be a protected route in the same app, gated by a moderator role) to review and act on flagged content.</w:t>
      </w:r>
    </w:p>
    <w:p>
      <w:pPr>
        <w:pStyle w:val="ListParagraph"/>
        <w:numPr>
          <w:ilvl w:val="0"/>
          <w:numId w:val="2"/>
        </w:numPr>
        <w:spacing w:after="60"/>
      </w:pPr>
      <w:r>
        <w:t xml:space="preserve">Rate-limit OTP requests and post/message creation per user (Supabase Edge Function or Postgres function) to blunt spam.</w:t>
      </w:r>
    </w:p>
    <w:p>
      <w:pPr>
        <w:pStyle w:val="ListParagraph"/>
        <w:numPr>
          <w:ilvl w:val="0"/>
          <w:numId w:val="2"/>
        </w:numPr>
        <w:spacing w:after="60"/>
      </w:pPr>
      <w:r>
        <w:t xml:space="preserve">Store only the college email and derived profile data — no scraping or storing of Microsoft account data, since v1 doesn't touch the college's identity system at all.</w:t>
      </w:r>
    </w:p>
    <w:p>
      <w:pPr>
        <w:pStyle w:val="Heading1"/>
        <w:spacing w:after="160" w:before="320"/>
      </w:pPr>
      <w:r>
        <w:t xml:space="preserve">10. Rollout phases</w:t>
      </w:r>
    </w:p>
    <w:p>
      <w:pPr>
        <w:pStyle w:val="ListParagraph"/>
        <w:numPr>
          <w:ilvl w:val="0"/>
          <w:numId w:val="2"/>
        </w:numPr>
        <w:spacing w:after="60"/>
      </w:pPr>
      <w:r>
        <w:t xml:space="preserve">Phase 1 — Auth + core data model: college-email OTP, users/communities/community_members/posts. Ship the redesigned UI against this.</w:t>
      </w:r>
    </w:p>
    <w:p>
      <w:pPr>
        <w:pStyle w:val="ListParagraph"/>
        <w:numPr>
          <w:ilvl w:val="0"/>
          <w:numId w:val="2"/>
        </w:numPr>
        <w:spacing w:after="60"/>
      </w:pPr>
      <w:r>
        <w:t xml:space="preserve">Phase 2 — Chat: community/club chat via Realtime, DMs + chat requests.</w:t>
      </w:r>
    </w:p>
    <w:p>
      <w:pPr>
        <w:pStyle w:val="ListParagraph"/>
        <w:numPr>
          <w:ilvl w:val="0"/>
          <w:numId w:val="2"/>
        </w:numPr>
        <w:spacing w:after="60"/>
      </w:pPr>
      <w:r>
        <w:t xml:space="preserve">Phase 3 — Clubs + Events: official clubs directory, event creation/registration → community linkage, QR handles.</w:t>
      </w:r>
    </w:p>
    <w:p>
      <w:pPr>
        <w:pStyle w:val="ListParagraph"/>
        <w:numPr>
          <w:ilvl w:val="0"/>
          <w:numId w:val="2"/>
        </w:numPr>
        <w:spacing w:after="60"/>
      </w:pPr>
      <w:r>
        <w:t xml:space="preserve">Phase 4 — Notifications + moderation: push via FCM, reports queue, rate limiting.</w:t>
      </w:r>
    </w:p>
    <w:p>
      <w:pPr>
        <w:pStyle w:val="ListParagraph"/>
        <w:numPr>
          <w:ilvl w:val="0"/>
          <w:numId w:val="2"/>
        </w:numPr>
        <w:spacing w:after="60"/>
      </w:pPr>
      <w:r>
        <w:t xml:space="preserve">Phase 5 — Scale checkpoint: move to Supabase Pro + Vercel Pro once approaching ~2,000 active users or when ads/sponsored content ships.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2026-08-12T18:49:41.205Z</dcterms:created>
  <dcterms:modified xsi:type="dcterms:W3CDTF">2026-08-12T18:49:41.205Z</dcterms:modified>
</cp:coreProperties>
</file>

<file path=docProps/custom.xml><?xml version="1.0" encoding="utf-8"?>
<Properties xmlns="http://schemas.openxmlformats.org/officeDocument/2006/custom-properties" xmlns:vt="http://schemas.openxmlformats.org/officeDocument/2006/docPropsVTypes"/>
</file>