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57929"/>
    <w:p w14:paraId="143A4629"/>
    <w:p w14:paraId="0C2F22AB"/>
    <w:p w14:paraId="08686A7A">
      <w:pPr>
        <w:spacing w:after="120"/>
        <w:jc w:val="center"/>
      </w:pPr>
      <w:r>
        <w:rPr>
          <w:rFonts w:ascii="Arial" w:hAnsi="Arial" w:eastAsia="Arial" w:cs="Arial"/>
          <w:b/>
          <w:bCs/>
          <w:color w:val="1F4E79"/>
          <w:sz w:val="36"/>
          <w:szCs w:val="36"/>
        </w:rPr>
        <w:t>KIIT DU — SAP Integration Developer</w:t>
      </w:r>
    </w:p>
    <w:p w14:paraId="54BFB305">
      <w:pPr>
        <w:spacing w:after="80"/>
        <w:jc w:val="center"/>
        <w:rPr>
          <w:rFonts w:hint="default"/>
          <w:lang w:val="en-US"/>
        </w:rPr>
      </w:pPr>
      <w:r>
        <w:rPr>
          <w:rFonts w:ascii="Arial" w:hAnsi="Arial" w:eastAsia="Arial" w:cs="Arial"/>
          <w:color w:val="595959"/>
          <w:sz w:val="26"/>
          <w:szCs w:val="26"/>
        </w:rPr>
        <w:t xml:space="preserve">Batch: </w:t>
      </w:r>
      <w:r>
        <w:rPr>
          <w:rFonts w:hint="default" w:cs="Arial"/>
          <w:color w:val="595959"/>
          <w:sz w:val="26"/>
          <w:szCs w:val="26"/>
          <w:lang w:val="en-US"/>
        </w:rPr>
        <w:t>CSE ,Group:  2027_SAP(OE)</w:t>
      </w:r>
    </w:p>
    <w:p w14:paraId="490FF1D3"/>
    <w:p w14:paraId="5DBB34B5">
      <w:pPr>
        <w:pBdr>
          <w:top w:val="single" w:color="2E75B6" w:sz="6" w:space="6"/>
          <w:bottom w:val="single" w:color="2E75B6" w:sz="6" w:space="6"/>
        </w:pBdr>
        <w:spacing w:before="200" w:after="200"/>
        <w:jc w:val="center"/>
      </w:pPr>
      <w:r>
        <w:rPr>
          <w:rFonts w:ascii="Arial" w:hAnsi="Arial" w:eastAsia="Arial" w:cs="Arial"/>
          <w:b/>
          <w:bCs/>
          <w:color w:val="1F4E79"/>
          <w:sz w:val="48"/>
          <w:szCs w:val="48"/>
        </w:rPr>
        <w:t>SAP CAPSTONE PROJECT REPORT</w:t>
      </w:r>
    </w:p>
    <w:p w14:paraId="5E48C58C"/>
    <w:p w14:paraId="71339A05">
      <w:pPr>
        <w:spacing w:after="80"/>
        <w:jc w:val="center"/>
      </w:pPr>
      <w:r>
        <w:rPr>
          <w:rFonts w:ascii="Arial" w:hAnsi="Arial" w:eastAsia="Arial" w:cs="Arial"/>
          <w:i/>
          <w:iCs/>
          <w:color w:val="595959"/>
          <w:sz w:val="28"/>
          <w:szCs w:val="28"/>
        </w:rPr>
        <w:t>Blueprint Document: SAP Configuration for a Fictitious Enterprise</w:t>
      </w:r>
    </w:p>
    <w:p w14:paraId="6D696725">
      <w:pPr>
        <w:spacing w:after="80"/>
        <w:jc w:val="center"/>
      </w:pPr>
      <w:r>
        <w:rPr>
          <w:rFonts w:ascii="Arial" w:hAnsi="Arial" w:eastAsia="Arial" w:cs="Arial"/>
          <w:b/>
          <w:bCs/>
          <w:color w:val="2E75B6"/>
          <w:sz w:val="30"/>
          <w:szCs w:val="30"/>
        </w:rPr>
        <w:t>Company: Nexora IT Services Pvt. Ltd.</w:t>
      </w:r>
    </w:p>
    <w:p w14:paraId="377F51E1"/>
    <w:p w14:paraId="11FC18C9"/>
    <w:p w14:paraId="14C2E13A">
      <w:pPr>
        <w:spacing w:after="60"/>
        <w:jc w:val="center"/>
      </w:pPr>
      <w:r>
        <w:rPr>
          <w:rFonts w:ascii="Arial" w:hAnsi="Arial" w:eastAsia="Arial" w:cs="Arial"/>
          <w:color w:val="595959"/>
          <w:sz w:val="24"/>
          <w:szCs w:val="24"/>
        </w:rPr>
        <w:t>Submitted By</w:t>
      </w:r>
    </w:p>
    <w:p w14:paraId="2D77B296">
      <w:pPr>
        <w:spacing w:after="60"/>
        <w:jc w:val="center"/>
      </w:pPr>
      <w:r>
        <w:rPr>
          <w:rFonts w:ascii="Arial" w:hAnsi="Arial" w:eastAsia="Arial" w:cs="Arial"/>
          <w:b/>
          <w:bCs/>
          <w:sz w:val="26"/>
          <w:szCs w:val="26"/>
        </w:rPr>
        <w:t xml:space="preserve">Name: </w:t>
      </w:r>
      <w:r>
        <w:rPr>
          <w:rFonts w:hint="default" w:cs="Arial"/>
          <w:b/>
          <w:bCs/>
          <w:sz w:val="26"/>
          <w:szCs w:val="26"/>
          <w:lang w:val="en-US"/>
        </w:rPr>
        <w:t>ARYAN AMITANSHU SAHU</w:t>
      </w:r>
    </w:p>
    <w:p w14:paraId="509D7BD1">
      <w:pPr>
        <w:spacing w:after="60"/>
        <w:jc w:val="center"/>
      </w:pPr>
      <w:r>
        <w:rPr>
          <w:rFonts w:ascii="Arial" w:hAnsi="Arial" w:eastAsia="Arial" w:cs="Arial"/>
          <w:b/>
          <w:bCs/>
          <w:sz w:val="26"/>
          <w:szCs w:val="26"/>
        </w:rPr>
        <w:t xml:space="preserve">Roll Number: </w:t>
      </w:r>
      <w:r>
        <w:rPr>
          <w:rFonts w:hint="default" w:cs="Arial"/>
          <w:b/>
          <w:bCs/>
          <w:sz w:val="26"/>
          <w:szCs w:val="26"/>
          <w:lang w:val="en-US"/>
        </w:rPr>
        <w:t>23052788</w:t>
      </w:r>
    </w:p>
    <w:p w14:paraId="203FF763">
      <w:pPr>
        <w:spacing w:after="60"/>
        <w:jc w:val="center"/>
      </w:pPr>
      <w:r>
        <w:rPr>
          <w:rFonts w:ascii="Arial" w:hAnsi="Arial" w:eastAsia="Arial" w:cs="Arial"/>
          <w:sz w:val="24"/>
          <w:szCs w:val="24"/>
        </w:rPr>
        <w:t>Program: SAP Integration Developer</w:t>
      </w:r>
    </w:p>
    <w:p w14:paraId="4214D3D6">
      <w:pPr>
        <w:spacing w:after="60"/>
        <w:jc w:val="center"/>
        <w:rPr>
          <w:rFonts w:hint="default"/>
          <w:lang w:val="en-US"/>
        </w:rPr>
      </w:pPr>
      <w:r>
        <w:rPr>
          <w:rFonts w:ascii="Arial" w:hAnsi="Arial" w:eastAsia="Arial" w:cs="Arial"/>
          <w:sz w:val="24"/>
          <w:szCs w:val="24"/>
        </w:rPr>
        <w:t xml:space="preserve">Batch: </w:t>
      </w:r>
      <w:r>
        <w:rPr>
          <w:rFonts w:hint="default" w:cs="Arial"/>
          <w:sz w:val="24"/>
          <w:szCs w:val="24"/>
          <w:lang w:val="en-US"/>
        </w:rPr>
        <w:t>2027_SAP(OE)</w:t>
      </w:r>
    </w:p>
    <w:p w14:paraId="752BA7B0">
      <w:pPr>
        <w:spacing w:after="200"/>
        <w:jc w:val="center"/>
      </w:pPr>
      <w:r>
        <w:rPr>
          <w:rFonts w:ascii="Arial" w:hAnsi="Arial" w:eastAsia="Arial" w:cs="Arial"/>
          <w:sz w:val="24"/>
          <w:szCs w:val="24"/>
        </w:rPr>
        <w:t>Submission Date: April 21, 2026</w:t>
      </w:r>
    </w:p>
    <w:p w14:paraId="5CE79B0B">
      <w:pPr>
        <w:spacing w:after="60"/>
        <w:jc w:val="center"/>
      </w:pPr>
      <w:r>
        <w:rPr>
          <w:rFonts w:ascii="Arial" w:hAnsi="Arial" w:eastAsia="Arial" w:cs="Arial"/>
          <w:b/>
          <w:bCs/>
          <w:color w:val="1F4E79"/>
          <w:sz w:val="24"/>
          <w:szCs w:val="24"/>
        </w:rPr>
        <w:t>KIIT DU | School of Computer Engineering</w:t>
      </w:r>
    </w:p>
    <w:p w14:paraId="6A0D1AEB">
      <w:r>
        <w:br w:type="page"/>
      </w:r>
    </w:p>
    <w:p w14:paraId="5129C6A6">
      <w:pPr>
        <w:pStyle w:val="2"/>
        <w:pBdr>
          <w:bottom w:val="single" w:color="2E75B6" w:sz="4" w:space="4"/>
        </w:pBdr>
        <w:spacing w:before="360" w:after="160"/>
      </w:pPr>
      <w:r>
        <w:rPr>
          <w:rFonts w:ascii="Arial" w:hAnsi="Arial" w:eastAsia="Arial" w:cs="Arial"/>
          <w:b/>
          <w:bCs/>
          <w:color w:val="1F4E79"/>
          <w:sz w:val="32"/>
          <w:szCs w:val="32"/>
        </w:rPr>
        <w:t>1. Project Title &amp; Problem Statement</w:t>
      </w:r>
    </w:p>
    <w:p w14:paraId="120D3D7C">
      <w:pPr>
        <w:pStyle w:val="3"/>
        <w:spacing w:before="280" w:after="120"/>
      </w:pPr>
      <w:r>
        <w:rPr>
          <w:rFonts w:ascii="Arial" w:hAnsi="Arial" w:eastAsia="Arial" w:cs="Arial"/>
          <w:b/>
          <w:bCs/>
          <w:color w:val="2E75B6"/>
          <w:sz w:val="26"/>
          <w:szCs w:val="26"/>
        </w:rPr>
        <w:t>1.1 Project Title</w:t>
      </w:r>
    </w:p>
    <w:p w14:paraId="4D805FF1">
      <w:pPr>
        <w:spacing w:before="80" w:after="80"/>
      </w:pPr>
      <w:r>
        <w:rPr>
          <w:rFonts w:ascii="Arial" w:hAnsi="Arial" w:eastAsia="Arial" w:cs="Arial"/>
          <w:sz w:val="22"/>
          <w:szCs w:val="22"/>
        </w:rPr>
        <w:t>SAP Enterprise Blueprint: End-to-End Configuration of Nexora IT Services Pvt. Ltd. across Financial Accounting (FI), Materials Management (MM), and Sales &amp; Distribution (SD) Modules.</w:t>
      </w:r>
    </w:p>
    <w:p w14:paraId="33A6ADFE">
      <w:pPr>
        <w:pStyle w:val="3"/>
        <w:spacing w:before="280" w:after="120"/>
      </w:pPr>
      <w:r>
        <w:rPr>
          <w:rFonts w:ascii="Arial" w:hAnsi="Arial" w:eastAsia="Arial" w:cs="Arial"/>
          <w:b/>
          <w:bCs/>
          <w:color w:val="2E75B6"/>
          <w:sz w:val="26"/>
          <w:szCs w:val="26"/>
        </w:rPr>
        <w:t>1.2 Problem Statement</w:t>
      </w:r>
    </w:p>
    <w:p w14:paraId="03ED0B6C">
      <w:pPr>
        <w:spacing w:before="80" w:after="80"/>
      </w:pPr>
      <w:r>
        <w:rPr>
          <w:rFonts w:ascii="Arial" w:hAnsi="Arial" w:eastAsia="Arial" w:cs="Arial"/>
          <w:sz w:val="22"/>
          <w:szCs w:val="22"/>
        </w:rPr>
        <w:t>IT services companies in India typically operate with fragmented systems for resource procurement, project billing, and financial reporting. Separate tools for vendor management, internal asset procurement, and client invoicing lead to reconciliation errors, delayed revenue recognition, and poor cost visibility across projects and service lines.</w:t>
      </w:r>
    </w:p>
    <w:p w14:paraId="7DFA0BA4"/>
    <w:p w14:paraId="49777D85">
      <w:pPr>
        <w:spacing w:before="80" w:after="80"/>
      </w:pPr>
      <w:r>
        <w:rPr>
          <w:rFonts w:ascii="Arial" w:hAnsi="Arial" w:eastAsia="Arial" w:cs="Arial"/>
          <w:sz w:val="22"/>
          <w:szCs w:val="22"/>
        </w:rPr>
        <w:t>This project defines and blueprints the SAP configuration for Nexora IT Services Pvt. Ltd., a fictitious Indian IT services company, covering all major sub-organizations and customization steps across the FI, MM, and SD functional modules. The blueprint serves as a complete implementation guide that an SAP consultant would follow to configure the system from scratch — enabling unified procurement, billing, and financial operations on a single platform.</w:t>
      </w:r>
    </w:p>
    <w:p w14:paraId="666571B8">
      <w:r>
        <w:br w:type="page"/>
      </w:r>
    </w:p>
    <w:p w14:paraId="0BEACFAF">
      <w:pPr>
        <w:pStyle w:val="2"/>
        <w:pBdr>
          <w:bottom w:val="single" w:color="2E75B6" w:sz="4" w:space="4"/>
        </w:pBdr>
        <w:spacing w:before="360" w:after="160"/>
      </w:pPr>
      <w:r>
        <w:rPr>
          <w:rFonts w:ascii="Arial" w:hAnsi="Arial" w:eastAsia="Arial" w:cs="Arial"/>
          <w:b/>
          <w:bCs/>
          <w:color w:val="1F4E79"/>
          <w:sz w:val="32"/>
          <w:szCs w:val="32"/>
        </w:rPr>
        <w:t>2. Company Profile — Nexora IT Services Pvt. Ltd.</w:t>
      </w:r>
    </w:p>
    <w:p w14:paraId="0BDDEAB6">
      <w:pPr>
        <w:pStyle w:val="3"/>
        <w:spacing w:before="280" w:after="120"/>
      </w:pPr>
      <w:r>
        <w:rPr>
          <w:rFonts w:ascii="Arial" w:hAnsi="Arial" w:eastAsia="Arial" w:cs="Arial"/>
          <w:b/>
          <w:bCs/>
          <w:color w:val="2E75B6"/>
          <w:sz w:val="26"/>
          <w:szCs w:val="26"/>
        </w:rPr>
        <w:t>2.1 About the Company</w:t>
      </w:r>
    </w:p>
    <w:p w14:paraId="5DAEDE09">
      <w:pPr>
        <w:spacing w:before="80" w:after="80"/>
      </w:pPr>
      <w:r>
        <w:rPr>
          <w:rFonts w:ascii="Arial" w:hAnsi="Arial" w:eastAsia="Arial" w:cs="Arial"/>
          <w:sz w:val="22"/>
          <w:szCs w:val="22"/>
        </w:rPr>
        <w:t>Nexora IT Services Pvt. Ltd. is a fictitious mid-sized IT services company headquartered in Bengaluru, Karnataka, India. The company delivers software development, cloud infrastructure management, and IT consulting services to enterprise clients across BFSI, retail, and manufacturing sectors. It operates with approximately 2,800 employees across two delivery centres.</w:t>
      </w:r>
    </w:p>
    <w:p w14:paraId="563D0AD8"/>
    <w:p w14:paraId="0694D62C">
      <w:pPr>
        <w:pStyle w:val="3"/>
        <w:spacing w:before="280" w:after="120"/>
      </w:pPr>
      <w:r>
        <w:rPr>
          <w:rFonts w:ascii="Arial" w:hAnsi="Arial" w:eastAsia="Arial" w:cs="Arial"/>
          <w:b/>
          <w:bCs/>
          <w:color w:val="2E75B6"/>
          <w:sz w:val="26"/>
          <w:szCs w:val="26"/>
        </w:rPr>
        <w:t>2.2 Company Overview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186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AFC4B87">
            <w:pPr>
              <w:jc w:val="left"/>
            </w:pPr>
            <w:r>
              <w:rPr>
                <w:rFonts w:ascii="Arial" w:hAnsi="Arial" w:eastAsia="Arial" w:cs="Arial"/>
                <w:b/>
                <w:bCs/>
                <w:color w:val="FFFFFF"/>
                <w:sz w:val="20"/>
                <w:szCs w:val="20"/>
              </w:rPr>
              <w:t>Company Name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845C71">
            <w:r>
              <w:rPr>
                <w:rFonts w:ascii="Arial" w:hAnsi="Arial" w:eastAsia="Arial" w:cs="Arial"/>
                <w:sz w:val="20"/>
                <w:szCs w:val="20"/>
              </w:rPr>
              <w:t>Nexora IT Services Pvt. Ltd.</w:t>
            </w:r>
          </w:p>
        </w:tc>
      </w:tr>
      <w:tr w14:paraId="2146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17ECC95">
            <w:pPr>
              <w:jc w:val="left"/>
            </w:pPr>
            <w:r>
              <w:rPr>
                <w:rFonts w:ascii="Arial" w:hAnsi="Arial" w:eastAsia="Arial" w:cs="Arial"/>
                <w:b/>
                <w:bCs/>
                <w:color w:val="FFFFFF"/>
                <w:sz w:val="20"/>
                <w:szCs w:val="20"/>
              </w:rPr>
              <w:t>Industry</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47AD06A">
            <w:r>
              <w:rPr>
                <w:rFonts w:ascii="Arial" w:hAnsi="Arial" w:eastAsia="Arial" w:cs="Arial"/>
                <w:sz w:val="20"/>
                <w:szCs w:val="20"/>
              </w:rPr>
              <w:t>Information Technology &amp; IT-Enabled Services</w:t>
            </w:r>
          </w:p>
        </w:tc>
      </w:tr>
      <w:tr w14:paraId="0506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1B9214A">
            <w:pPr>
              <w:jc w:val="left"/>
            </w:pPr>
            <w:r>
              <w:rPr>
                <w:rFonts w:ascii="Arial" w:hAnsi="Arial" w:eastAsia="Arial" w:cs="Arial"/>
                <w:b/>
                <w:bCs/>
                <w:color w:val="FFFFFF"/>
                <w:sz w:val="20"/>
                <w:szCs w:val="20"/>
              </w:rPr>
              <w:t>Headquarters</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DB4292">
            <w:r>
              <w:rPr>
                <w:rFonts w:ascii="Arial" w:hAnsi="Arial" w:eastAsia="Arial" w:cs="Arial"/>
                <w:sz w:val="20"/>
                <w:szCs w:val="20"/>
              </w:rPr>
              <w:t>Bengaluru, Karnataka, India</w:t>
            </w:r>
          </w:p>
        </w:tc>
      </w:tr>
      <w:tr w14:paraId="1B8F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2DA03B5">
            <w:pPr>
              <w:jc w:val="left"/>
            </w:pPr>
            <w:r>
              <w:rPr>
                <w:rFonts w:ascii="Arial" w:hAnsi="Arial" w:eastAsia="Arial" w:cs="Arial"/>
                <w:b/>
                <w:bCs/>
                <w:color w:val="FFFFFF"/>
                <w:sz w:val="20"/>
                <w:szCs w:val="20"/>
              </w:rPr>
              <w:t>Founded</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7969EDD">
            <w:r>
              <w:rPr>
                <w:rFonts w:ascii="Arial" w:hAnsi="Arial" w:eastAsia="Arial" w:cs="Arial"/>
                <w:sz w:val="20"/>
                <w:szCs w:val="20"/>
              </w:rPr>
              <w:t>2011</w:t>
            </w:r>
          </w:p>
        </w:tc>
      </w:tr>
      <w:tr w14:paraId="780B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73ECA46">
            <w:pPr>
              <w:jc w:val="left"/>
            </w:pPr>
            <w:r>
              <w:rPr>
                <w:rFonts w:ascii="Arial" w:hAnsi="Arial" w:eastAsia="Arial" w:cs="Arial"/>
                <w:b/>
                <w:bCs/>
                <w:color w:val="FFFFFF"/>
                <w:sz w:val="20"/>
                <w:szCs w:val="20"/>
              </w:rPr>
              <w:t>Annual Revenue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9F7A43">
            <w:r>
              <w:rPr>
                <w:rFonts w:ascii="Arial" w:hAnsi="Arial" w:eastAsia="Arial" w:cs="Arial"/>
                <w:sz w:val="20"/>
                <w:szCs w:val="20"/>
              </w:rPr>
              <w:t>INR 420 Crores (approx.)</w:t>
            </w:r>
          </w:p>
        </w:tc>
      </w:tr>
      <w:tr w14:paraId="6C6D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7EC8FB0">
            <w:pPr>
              <w:jc w:val="left"/>
            </w:pPr>
            <w:r>
              <w:rPr>
                <w:rFonts w:ascii="Arial" w:hAnsi="Arial" w:eastAsia="Arial" w:cs="Arial"/>
                <w:b/>
                <w:bCs/>
                <w:color w:val="FFFFFF"/>
                <w:sz w:val="20"/>
                <w:szCs w:val="20"/>
              </w:rPr>
              <w:t>Employees</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DAEAE3B">
            <w:r>
              <w:rPr>
                <w:rFonts w:ascii="Arial" w:hAnsi="Arial" w:eastAsia="Arial" w:cs="Arial"/>
                <w:sz w:val="20"/>
                <w:szCs w:val="20"/>
              </w:rPr>
              <w:t>~2,800</w:t>
            </w:r>
          </w:p>
        </w:tc>
      </w:tr>
      <w:tr w14:paraId="7776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E4C35EA">
            <w:pPr>
              <w:jc w:val="left"/>
            </w:pPr>
            <w:r>
              <w:rPr>
                <w:rFonts w:ascii="Arial" w:hAnsi="Arial" w:eastAsia="Arial" w:cs="Arial"/>
                <w:b/>
                <w:bCs/>
                <w:color w:val="FFFFFF"/>
                <w:sz w:val="20"/>
                <w:szCs w:val="20"/>
              </w:rPr>
              <w:t>Delivery Centres</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6555CF">
            <w:r>
              <w:rPr>
                <w:rFonts w:ascii="Arial" w:hAnsi="Arial" w:eastAsia="Arial" w:cs="Arial"/>
                <w:sz w:val="20"/>
                <w:szCs w:val="20"/>
              </w:rPr>
              <w:t>Bengaluru (Primary), Hyderabad (Secondary)</w:t>
            </w:r>
          </w:p>
        </w:tc>
      </w:tr>
      <w:tr w14:paraId="671A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C329CA6">
            <w:pPr>
              <w:jc w:val="left"/>
            </w:pPr>
            <w:r>
              <w:rPr>
                <w:rFonts w:ascii="Arial" w:hAnsi="Arial" w:eastAsia="Arial" w:cs="Arial"/>
                <w:b/>
                <w:bCs/>
                <w:color w:val="FFFFFF"/>
                <w:sz w:val="20"/>
                <w:szCs w:val="20"/>
              </w:rPr>
              <w:t>Currency</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994E919">
            <w:r>
              <w:rPr>
                <w:rFonts w:ascii="Arial" w:hAnsi="Arial" w:eastAsia="Arial" w:cs="Arial"/>
                <w:sz w:val="20"/>
                <w:szCs w:val="20"/>
              </w:rPr>
              <w:t>Indian Rupee (INR)</w:t>
            </w:r>
          </w:p>
        </w:tc>
      </w:tr>
      <w:tr w14:paraId="73E9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D8C4AAC">
            <w:pPr>
              <w:jc w:val="left"/>
            </w:pPr>
            <w:r>
              <w:rPr>
                <w:rFonts w:ascii="Arial" w:hAnsi="Arial" w:eastAsia="Arial" w:cs="Arial"/>
                <w:b/>
                <w:bCs/>
                <w:color w:val="FFFFFF"/>
                <w:sz w:val="20"/>
                <w:szCs w:val="20"/>
              </w:rPr>
              <w:t>Fiscal Year</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D85060">
            <w:r>
              <w:rPr>
                <w:rFonts w:ascii="Arial" w:hAnsi="Arial" w:eastAsia="Arial" w:cs="Arial"/>
                <w:sz w:val="20"/>
                <w:szCs w:val="20"/>
              </w:rPr>
              <w:t>April to March (Indian FY)</w:t>
            </w:r>
          </w:p>
        </w:tc>
      </w:tr>
      <w:tr w14:paraId="3E45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9E26256">
            <w:pPr>
              <w:jc w:val="left"/>
            </w:pPr>
            <w:r>
              <w:rPr>
                <w:rFonts w:ascii="Arial" w:hAnsi="Arial" w:eastAsia="Arial" w:cs="Arial"/>
                <w:b/>
                <w:bCs/>
                <w:color w:val="FFFFFF"/>
                <w:sz w:val="20"/>
                <w:szCs w:val="20"/>
              </w:rPr>
              <w:t>SAP System</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0D93CD4">
            <w:r>
              <w:rPr>
                <w:rFonts w:ascii="Arial" w:hAnsi="Arial" w:eastAsia="Arial" w:cs="Arial"/>
                <w:sz w:val="20"/>
                <w:szCs w:val="20"/>
              </w:rPr>
              <w:t>SAP ECC 6.0 / S/4HANA</w:t>
            </w:r>
          </w:p>
        </w:tc>
      </w:tr>
    </w:tbl>
    <w:p w14:paraId="574FFDC1"/>
    <w:p w14:paraId="722C3790">
      <w:pPr>
        <w:pStyle w:val="3"/>
        <w:spacing w:before="280" w:after="120"/>
      </w:pPr>
      <w:r>
        <w:rPr>
          <w:rFonts w:ascii="Arial" w:hAnsi="Arial" w:eastAsia="Arial" w:cs="Arial"/>
          <w:b/>
          <w:bCs/>
          <w:color w:val="2E75B6"/>
          <w:sz w:val="26"/>
          <w:szCs w:val="26"/>
        </w:rPr>
        <w:t>2.3 Organizational Structure Overview</w:t>
      </w:r>
    </w:p>
    <w:p w14:paraId="64639357">
      <w:pPr>
        <w:spacing w:before="80" w:after="80"/>
        <w:rPr>
          <w:rFonts w:ascii="Arial" w:hAnsi="Arial" w:eastAsia="Arial" w:cs="Arial"/>
          <w:sz w:val="22"/>
          <w:szCs w:val="22"/>
        </w:rPr>
      </w:pPr>
      <w:r>
        <w:rPr>
          <w:rFonts w:ascii="Arial" w:hAnsi="Arial" w:eastAsia="Arial" w:cs="Arial"/>
          <w:sz w:val="22"/>
          <w:szCs w:val="22"/>
        </w:rPr>
        <w:t>The SAP organizational structure for Nexora mirrors its real-world delivery model. The hierarchy flows from the Client level down through Company Code, Plants (Delivery Centres), Purchase Organizations, Storage Locations (IT Asset Stores), Sales Organizations, and Distribution Channels (Direct, Partner, Offshore). This structure ensures accurate financial reporting by project, efficient IT asset procurement, and seamless client billing.</w:t>
      </w:r>
    </w:p>
    <w:p w14:paraId="74D82F22">
      <w:pPr>
        <w:spacing w:before="80" w:after="80"/>
        <w:rPr>
          <w:rFonts w:ascii="Arial" w:hAnsi="Arial" w:eastAsia="Arial" w:cs="Arial"/>
          <w:sz w:val="22"/>
          <w:szCs w:val="22"/>
        </w:rPr>
      </w:pPr>
    </w:p>
    <w:p w14:paraId="49AC72C0">
      <w:pPr>
        <w:spacing w:before="80" w:after="80"/>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6162040" cy="4262755"/>
            <wp:effectExtent l="0" t="0" r="10160" b="4445"/>
            <wp:docPr id="1" name="Picture 1" descr="Screenshot 2026-04-20 2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20 231322"/>
                    <pic:cNvPicPr>
                      <a:picLocks noChangeAspect="1"/>
                    </pic:cNvPicPr>
                  </pic:nvPicPr>
                  <pic:blipFill>
                    <a:blip r:embed="rId6"/>
                    <a:stretch>
                      <a:fillRect/>
                    </a:stretch>
                  </pic:blipFill>
                  <pic:spPr>
                    <a:xfrm>
                      <a:off x="0" y="0"/>
                      <a:ext cx="6162040" cy="4262755"/>
                    </a:xfrm>
                    <a:prstGeom prst="rect">
                      <a:avLst/>
                    </a:prstGeom>
                  </pic:spPr>
                </pic:pic>
              </a:graphicData>
            </a:graphic>
          </wp:inline>
        </w:drawing>
      </w:r>
    </w:p>
    <w:p w14:paraId="38027DBA">
      <w:pPr>
        <w:pStyle w:val="15"/>
        <w:keepNext w:val="0"/>
        <w:keepLines w:val="0"/>
        <w:widowControl/>
        <w:suppressLineNumbers w:val="0"/>
        <w:ind w:right="720"/>
        <w:jc w:val="center"/>
        <w:rPr>
          <w:rFonts w:hint="default" w:ascii="Arial" w:hAnsi="Arial" w:cs="Arial"/>
          <w:sz w:val="22"/>
          <w:szCs w:val="22"/>
        </w:rPr>
      </w:pPr>
      <w:r>
        <w:rPr>
          <w:rFonts w:hint="default" w:ascii="Arial" w:hAnsi="Arial" w:eastAsia="SimSun" w:cs="Arial"/>
          <w:sz w:val="22"/>
          <w:szCs w:val="22"/>
        </w:rPr>
        <w:t>Figure 1: SAP Enterprise Structure showing FI, MM, and SD hierarchy.</w:t>
      </w:r>
    </w:p>
    <w:p w14:paraId="0CE7F2BE"/>
    <w:p w14:paraId="163683D4">
      <w:pPr>
        <w:pStyle w:val="2"/>
        <w:pBdr>
          <w:bottom w:val="single" w:color="2E75B6" w:sz="4" w:space="4"/>
        </w:pBdr>
        <w:spacing w:before="360" w:after="160"/>
      </w:pPr>
      <w:r>
        <w:rPr>
          <w:rFonts w:ascii="Arial" w:hAnsi="Arial" w:eastAsia="Arial" w:cs="Arial"/>
          <w:b/>
          <w:bCs/>
          <w:color w:val="1F4E79"/>
          <w:sz w:val="32"/>
          <w:szCs w:val="32"/>
        </w:rPr>
        <w:t>3. Financial Accounting (FI) Module Configuration</w:t>
      </w:r>
    </w:p>
    <w:p w14:paraId="2D03EC34">
      <w:pPr>
        <w:pStyle w:val="3"/>
        <w:spacing w:before="280" w:after="120"/>
      </w:pPr>
      <w:r>
        <w:rPr>
          <w:rFonts w:ascii="Arial" w:hAnsi="Arial" w:eastAsia="Arial" w:cs="Arial"/>
          <w:b/>
          <w:bCs/>
          <w:color w:val="2E75B6"/>
          <w:sz w:val="26"/>
          <w:szCs w:val="26"/>
        </w:rPr>
        <w:t>3.1 Module Overview</w:t>
      </w:r>
    </w:p>
    <w:p w14:paraId="63B4698E">
      <w:pPr>
        <w:spacing w:before="80" w:after="80"/>
      </w:pPr>
      <w:r>
        <w:rPr>
          <w:rFonts w:ascii="Arial" w:hAnsi="Arial" w:eastAsia="Arial" w:cs="Arial"/>
          <w:sz w:val="22"/>
          <w:szCs w:val="22"/>
        </w:rPr>
        <w:t>The Financial Accounting (FI) module is the financial backbone of Nexora IT Services. It records all business transactions in real time — covering accounts payable (vendor payments for hardware/software), accounts receivable (client billing), general ledger, and asset accounting for IT infrastructure. All FI entries are triggered automatically by MM procurement events and SD billing events.</w:t>
      </w:r>
    </w:p>
    <w:p w14:paraId="6FC87961">
      <w:pPr>
        <w:pStyle w:val="3"/>
        <w:spacing w:before="280" w:after="120"/>
      </w:pPr>
      <w:r>
        <w:rPr>
          <w:rFonts w:ascii="Arial" w:hAnsi="Arial" w:eastAsia="Arial" w:cs="Arial"/>
          <w:b/>
          <w:bCs/>
          <w:color w:val="2E75B6"/>
          <w:sz w:val="26"/>
          <w:szCs w:val="26"/>
        </w:rPr>
        <w:t>3.2 Client Configuration</w:t>
      </w:r>
    </w:p>
    <w:p w14:paraId="70F9950E">
      <w:pPr>
        <w:spacing w:before="80" w:after="80"/>
      </w:pPr>
      <w:r>
        <w:rPr>
          <w:rFonts w:ascii="Arial" w:hAnsi="Arial" w:eastAsia="Arial" w:cs="Arial"/>
          <w:sz w:val="22"/>
          <w:szCs w:val="22"/>
        </w:rPr>
        <w:t>In SAP, the Client is the highest organizational unit. All company codes, master data, and configurations are contained within a single client. Nexora operates on Client 200.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EB58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BAB2F33">
            <w:pPr>
              <w:jc w:val="left"/>
            </w:pPr>
            <w:r>
              <w:rPr>
                <w:rFonts w:ascii="Arial" w:hAnsi="Arial" w:eastAsia="Arial" w:cs="Arial"/>
                <w:b/>
                <w:bCs/>
                <w:color w:val="FFFFFF"/>
                <w:sz w:val="20"/>
                <w:szCs w:val="20"/>
              </w:rPr>
              <w:t>Client ID</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CB4D52">
            <w:r>
              <w:rPr>
                <w:rFonts w:ascii="Arial" w:hAnsi="Arial" w:eastAsia="Arial" w:cs="Arial"/>
                <w:sz w:val="20"/>
                <w:szCs w:val="20"/>
              </w:rPr>
              <w:t>200</w:t>
            </w:r>
          </w:p>
        </w:tc>
      </w:tr>
      <w:tr w14:paraId="3EA5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BE16D82">
            <w:pPr>
              <w:jc w:val="left"/>
            </w:pPr>
            <w:r>
              <w:rPr>
                <w:rFonts w:ascii="Arial" w:hAnsi="Arial" w:eastAsia="Arial" w:cs="Arial"/>
                <w:b/>
                <w:bCs/>
                <w:color w:val="FFFFFF"/>
                <w:sz w:val="20"/>
                <w:szCs w:val="20"/>
              </w:rPr>
              <w:t>Client Name</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3A3A8B3">
            <w:r>
              <w:rPr>
                <w:rFonts w:ascii="Arial" w:hAnsi="Arial" w:eastAsia="Arial" w:cs="Arial"/>
                <w:sz w:val="20"/>
                <w:szCs w:val="20"/>
              </w:rPr>
              <w:t>Nexora SAP Production</w:t>
            </w:r>
          </w:p>
        </w:tc>
      </w:tr>
      <w:tr w14:paraId="518C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1E78FAB">
            <w:pPr>
              <w:jc w:val="left"/>
            </w:pPr>
            <w:r>
              <w:rPr>
                <w:rFonts w:ascii="Arial" w:hAnsi="Arial" w:eastAsia="Arial" w:cs="Arial"/>
                <w:b/>
                <w:bCs/>
                <w:color w:val="FFFFFF"/>
                <w:sz w:val="20"/>
                <w:szCs w:val="20"/>
              </w:rPr>
              <w:t>Currency</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9532EC">
            <w:r>
              <w:rPr>
                <w:rFonts w:ascii="Arial" w:hAnsi="Arial" w:eastAsia="Arial" w:cs="Arial"/>
                <w:sz w:val="20"/>
                <w:szCs w:val="20"/>
              </w:rPr>
              <w:t>INR</w:t>
            </w:r>
          </w:p>
        </w:tc>
      </w:tr>
      <w:tr w14:paraId="7FB2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A03AD25">
            <w:pPr>
              <w:jc w:val="left"/>
            </w:pPr>
            <w:r>
              <w:rPr>
                <w:rFonts w:ascii="Arial" w:hAnsi="Arial" w:eastAsia="Arial" w:cs="Arial"/>
                <w:b/>
                <w:bCs/>
                <w:color w:val="FFFFFF"/>
                <w:sz w:val="20"/>
                <w:szCs w:val="20"/>
              </w:rPr>
              <w:t>Language</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FF50416">
            <w:r>
              <w:rPr>
                <w:rFonts w:ascii="Arial" w:hAnsi="Arial" w:eastAsia="Arial" w:cs="Arial"/>
                <w:sz w:val="20"/>
                <w:szCs w:val="20"/>
              </w:rPr>
              <w:t>EN (English)</w:t>
            </w:r>
          </w:p>
        </w:tc>
      </w:tr>
    </w:tbl>
    <w:p w14:paraId="427BD14B">
      <w:pPr>
        <w:pStyle w:val="3"/>
        <w:spacing w:before="280" w:after="120"/>
      </w:pPr>
      <w:r>
        <w:rPr>
          <w:rFonts w:ascii="Arial" w:hAnsi="Arial" w:eastAsia="Arial" w:cs="Arial"/>
          <w:b/>
          <w:bCs/>
          <w:color w:val="2E75B6"/>
          <w:sz w:val="26"/>
          <w:szCs w:val="26"/>
        </w:rPr>
        <w:t>3.3 Company Code</w:t>
      </w:r>
    </w:p>
    <w:p w14:paraId="1FDA229F">
      <w:pPr>
        <w:spacing w:before="80" w:after="80"/>
      </w:pPr>
      <w:r>
        <w:rPr>
          <w:rFonts w:ascii="Arial" w:hAnsi="Arial" w:eastAsia="Arial" w:cs="Arial"/>
          <w:sz w:val="22"/>
          <w:szCs w:val="22"/>
        </w:rPr>
        <w:t>The Company Code is the central FI organizational unit representing Nexora as an independent legal accounting entity.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7AB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8EA70DE">
            <w:pPr>
              <w:jc w:val="left"/>
            </w:pPr>
            <w:r>
              <w:rPr>
                <w:rFonts w:ascii="Arial" w:hAnsi="Arial" w:eastAsia="Arial" w:cs="Arial"/>
                <w:b/>
                <w:bCs/>
                <w:color w:val="FFFFFF"/>
                <w:sz w:val="20"/>
                <w:szCs w:val="20"/>
              </w:rPr>
              <w:t>Company Code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3AE84C">
            <w:r>
              <w:rPr>
                <w:rFonts w:ascii="Arial" w:hAnsi="Arial" w:eastAsia="Arial" w:cs="Arial"/>
                <w:sz w:val="20"/>
                <w:szCs w:val="20"/>
              </w:rPr>
              <w:t>NXPL</w:t>
            </w:r>
          </w:p>
        </w:tc>
      </w:tr>
      <w:tr w14:paraId="324F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5CDA216">
            <w:pPr>
              <w:jc w:val="left"/>
            </w:pPr>
            <w:r>
              <w:rPr>
                <w:rFonts w:ascii="Arial" w:hAnsi="Arial" w:eastAsia="Arial" w:cs="Arial"/>
                <w:b/>
                <w:bCs/>
                <w:color w:val="FFFFFF"/>
                <w:sz w:val="20"/>
                <w:szCs w:val="20"/>
              </w:rPr>
              <w:t>Company Name</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ADD1DEF">
            <w:r>
              <w:rPr>
                <w:rFonts w:ascii="Arial" w:hAnsi="Arial" w:eastAsia="Arial" w:cs="Arial"/>
                <w:sz w:val="20"/>
                <w:szCs w:val="20"/>
              </w:rPr>
              <w:t>Nexora IT Services Pvt. Ltd.</w:t>
            </w:r>
          </w:p>
        </w:tc>
      </w:tr>
      <w:tr w14:paraId="5F88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9A07DF3">
            <w:pPr>
              <w:jc w:val="left"/>
            </w:pPr>
            <w:r>
              <w:rPr>
                <w:rFonts w:ascii="Arial" w:hAnsi="Arial" w:eastAsia="Arial" w:cs="Arial"/>
                <w:b/>
                <w:bCs/>
                <w:color w:val="FFFFFF"/>
                <w:sz w:val="20"/>
                <w:szCs w:val="20"/>
              </w:rPr>
              <w:t>City</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D88E25">
            <w:r>
              <w:rPr>
                <w:rFonts w:ascii="Arial" w:hAnsi="Arial" w:eastAsia="Arial" w:cs="Arial"/>
                <w:sz w:val="20"/>
                <w:szCs w:val="20"/>
              </w:rPr>
              <w:t>Bengaluru</w:t>
            </w:r>
          </w:p>
        </w:tc>
      </w:tr>
      <w:tr w14:paraId="70B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F5B87B4">
            <w:pPr>
              <w:jc w:val="left"/>
            </w:pPr>
            <w:r>
              <w:rPr>
                <w:rFonts w:ascii="Arial" w:hAnsi="Arial" w:eastAsia="Arial" w:cs="Arial"/>
                <w:b/>
                <w:bCs/>
                <w:color w:val="FFFFFF"/>
                <w:sz w:val="20"/>
                <w:szCs w:val="20"/>
              </w:rPr>
              <w:t>Country</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AF0467B">
            <w:r>
              <w:rPr>
                <w:rFonts w:ascii="Arial" w:hAnsi="Arial" w:eastAsia="Arial" w:cs="Arial"/>
                <w:sz w:val="20"/>
                <w:szCs w:val="20"/>
              </w:rPr>
              <w:t>India (IN)</w:t>
            </w:r>
          </w:p>
        </w:tc>
      </w:tr>
      <w:tr w14:paraId="3C28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7930018">
            <w:pPr>
              <w:jc w:val="left"/>
            </w:pPr>
            <w:r>
              <w:rPr>
                <w:rFonts w:ascii="Arial" w:hAnsi="Arial" w:eastAsia="Arial" w:cs="Arial"/>
                <w:b/>
                <w:bCs/>
                <w:color w:val="FFFFFF"/>
                <w:sz w:val="20"/>
                <w:szCs w:val="20"/>
              </w:rPr>
              <w:t>Currency</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5DD2B2">
            <w:r>
              <w:rPr>
                <w:rFonts w:ascii="Arial" w:hAnsi="Arial" w:eastAsia="Arial" w:cs="Arial"/>
                <w:sz w:val="20"/>
                <w:szCs w:val="20"/>
              </w:rPr>
              <w:t>INR</w:t>
            </w:r>
          </w:p>
        </w:tc>
      </w:tr>
      <w:tr w14:paraId="0B8A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621A554">
            <w:pPr>
              <w:jc w:val="left"/>
            </w:pPr>
            <w:r>
              <w:rPr>
                <w:rFonts w:ascii="Arial" w:hAnsi="Arial" w:eastAsia="Arial" w:cs="Arial"/>
                <w:b/>
                <w:bCs/>
                <w:color w:val="FFFFFF"/>
                <w:sz w:val="20"/>
                <w:szCs w:val="20"/>
              </w:rPr>
              <w:t>Language</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7D88A46">
            <w:r>
              <w:rPr>
                <w:rFonts w:ascii="Arial" w:hAnsi="Arial" w:eastAsia="Arial" w:cs="Arial"/>
                <w:sz w:val="20"/>
                <w:szCs w:val="20"/>
              </w:rPr>
              <w:t>EN</w:t>
            </w:r>
          </w:p>
        </w:tc>
      </w:tr>
      <w:tr w14:paraId="61E0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1C54023">
            <w:pPr>
              <w:jc w:val="left"/>
            </w:pPr>
            <w:r>
              <w:rPr>
                <w:rFonts w:ascii="Arial" w:hAnsi="Arial" w:eastAsia="Arial" w:cs="Arial"/>
                <w:b/>
                <w:bCs/>
                <w:color w:val="FFFFFF"/>
                <w:sz w:val="20"/>
                <w:szCs w:val="20"/>
              </w:rPr>
              <w:t>Chart of Accounts</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661A09">
            <w:r>
              <w:rPr>
                <w:rFonts w:ascii="Arial" w:hAnsi="Arial" w:eastAsia="Arial" w:cs="Arial"/>
                <w:sz w:val="20"/>
                <w:szCs w:val="20"/>
              </w:rPr>
              <w:t>NXCA</w:t>
            </w:r>
          </w:p>
        </w:tc>
      </w:tr>
      <w:tr w14:paraId="184B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7B0F361">
            <w:pPr>
              <w:jc w:val="left"/>
            </w:pPr>
            <w:r>
              <w:rPr>
                <w:rFonts w:ascii="Arial" w:hAnsi="Arial" w:eastAsia="Arial" w:cs="Arial"/>
                <w:b/>
                <w:bCs/>
                <w:color w:val="FFFFFF"/>
                <w:sz w:val="20"/>
                <w:szCs w:val="20"/>
              </w:rPr>
              <w:t>Fiscal Year Variant</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528B7E6">
            <w:r>
              <w:rPr>
                <w:rFonts w:ascii="Arial" w:hAnsi="Arial" w:eastAsia="Arial" w:cs="Arial"/>
                <w:sz w:val="20"/>
                <w:szCs w:val="20"/>
              </w:rPr>
              <w:t>V3 (Apr–Mar)</w:t>
            </w:r>
          </w:p>
        </w:tc>
      </w:tr>
    </w:tbl>
    <w:p w14:paraId="5AEECD65">
      <w:pPr>
        <w:pStyle w:val="3"/>
        <w:spacing w:before="280" w:after="120"/>
        <w:rPr>
          <w:rFonts w:ascii="Arial" w:hAnsi="Arial" w:eastAsia="Arial" w:cs="Arial"/>
          <w:b/>
          <w:bCs/>
          <w:color w:val="2E75B6"/>
          <w:sz w:val="26"/>
          <w:szCs w:val="26"/>
        </w:rPr>
      </w:pPr>
    </w:p>
    <w:p w14:paraId="421A699B">
      <w:pPr>
        <w:pStyle w:val="3"/>
        <w:spacing w:before="280" w:after="120"/>
        <w:rPr>
          <w:rFonts w:hint="default" w:ascii="Arial" w:hAnsi="Arial" w:eastAsia="Arial" w:cs="Arial"/>
          <w:b/>
          <w:bCs/>
          <w:color w:val="2E75B6"/>
          <w:sz w:val="26"/>
          <w:szCs w:val="26"/>
          <w:lang w:val="en-US"/>
        </w:rPr>
      </w:pPr>
      <w:r>
        <w:rPr>
          <w:rFonts w:hint="default" w:ascii="Arial" w:hAnsi="Arial" w:eastAsia="Arial" w:cs="Arial"/>
          <w:b/>
          <w:bCs/>
          <w:color w:val="2E75B6"/>
          <w:sz w:val="26"/>
          <w:szCs w:val="26"/>
          <w:lang w:val="en-US"/>
        </w:rPr>
        <w:drawing>
          <wp:inline distT="0" distB="0" distL="114300" distR="114300">
            <wp:extent cx="6162675" cy="3350260"/>
            <wp:effectExtent l="0" t="0" r="9525" b="2540"/>
            <wp:docPr id="2" name="Picture 2" descr="Screenshot 2026-04-20 23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20 232054"/>
                    <pic:cNvPicPr>
                      <a:picLocks noChangeAspect="1"/>
                    </pic:cNvPicPr>
                  </pic:nvPicPr>
                  <pic:blipFill>
                    <a:blip r:embed="rId7"/>
                    <a:stretch>
                      <a:fillRect/>
                    </a:stretch>
                  </pic:blipFill>
                  <pic:spPr>
                    <a:xfrm>
                      <a:off x="0" y="0"/>
                      <a:ext cx="6162675" cy="3350260"/>
                    </a:xfrm>
                    <a:prstGeom prst="rect">
                      <a:avLst/>
                    </a:prstGeom>
                  </pic:spPr>
                </pic:pic>
              </a:graphicData>
            </a:graphic>
          </wp:inline>
        </w:drawing>
      </w:r>
    </w:p>
    <w:p w14:paraId="6B6F5831">
      <w:pPr>
        <w:pStyle w:val="15"/>
        <w:keepNext w:val="0"/>
        <w:keepLines w:val="0"/>
        <w:widowControl/>
        <w:suppressLineNumbers w:val="0"/>
        <w:ind w:left="720" w:right="720"/>
        <w:jc w:val="center"/>
        <w:rPr>
          <w:rFonts w:hint="default" w:ascii="Arial" w:hAnsi="Arial" w:cs="Arial"/>
          <w:sz w:val="22"/>
          <w:szCs w:val="22"/>
        </w:rPr>
      </w:pPr>
      <w:r>
        <w:rPr>
          <w:rFonts w:hint="default" w:ascii="Arial" w:hAnsi="Arial" w:eastAsia="SimSun" w:cs="Arial"/>
          <w:sz w:val="22"/>
          <w:szCs w:val="22"/>
        </w:rPr>
        <w:t xml:space="preserve">Figure 2: </w:t>
      </w:r>
      <w:r>
        <w:rPr>
          <w:rFonts w:hint="default" w:ascii="Arial" w:hAnsi="Arial" w:eastAsia="SimSun" w:cs="Arial"/>
          <w:sz w:val="22"/>
          <w:szCs w:val="22"/>
          <w:lang w:val="en-US"/>
        </w:rPr>
        <w:t xml:space="preserve">Sample </w:t>
      </w:r>
      <w:r>
        <w:rPr>
          <w:rFonts w:hint="default" w:ascii="Arial" w:hAnsi="Arial" w:eastAsia="SimSun" w:cs="Arial"/>
          <w:sz w:val="22"/>
          <w:szCs w:val="22"/>
        </w:rPr>
        <w:t>Company Code configuration for Nexora IT Services Pvt. Ltd.</w:t>
      </w:r>
    </w:p>
    <w:p w14:paraId="13565849">
      <w:pPr>
        <w:rPr>
          <w:rFonts w:hint="default"/>
          <w:lang w:val="en-US"/>
        </w:rPr>
      </w:pPr>
    </w:p>
    <w:p w14:paraId="37A5EC43">
      <w:pPr>
        <w:pStyle w:val="3"/>
        <w:spacing w:before="280" w:after="120"/>
      </w:pPr>
      <w:r>
        <w:rPr>
          <w:rFonts w:ascii="Arial" w:hAnsi="Arial" w:eastAsia="Arial" w:cs="Arial"/>
          <w:b/>
          <w:bCs/>
          <w:color w:val="2E75B6"/>
          <w:sz w:val="26"/>
          <w:szCs w:val="26"/>
        </w:rPr>
        <w:t>3.4 Chart of Accounts (COA)</w:t>
      </w:r>
    </w:p>
    <w:p w14:paraId="27312C2C">
      <w:pPr>
        <w:spacing w:before="80" w:after="80"/>
      </w:pPr>
      <w:r>
        <w:rPr>
          <w:rFonts w:ascii="Arial" w:hAnsi="Arial" w:eastAsia="Arial" w:cs="Arial"/>
          <w:sz w:val="22"/>
          <w:szCs w:val="22"/>
        </w:rPr>
        <w:t>Nexora uses a custom Chart of Accounts called NXCA, aligned to the Indian Companies Act 2013 framework and suitable for an IT services company with project-based revenue and capitalised software assets.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0"/>
        <w:gridCol w:w="2360"/>
        <w:gridCol w:w="4360"/>
      </w:tblGrid>
      <w:tr w14:paraId="1891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1C81DCD">
            <w:pPr>
              <w:jc w:val="left"/>
            </w:pPr>
            <w:r>
              <w:rPr>
                <w:rFonts w:ascii="Arial" w:hAnsi="Arial" w:eastAsia="Arial" w:cs="Arial"/>
                <w:b/>
                <w:bCs/>
                <w:color w:val="FFFFFF"/>
                <w:sz w:val="20"/>
                <w:szCs w:val="20"/>
              </w:rPr>
              <w:t>Account Range</w:t>
            </w:r>
          </w:p>
        </w:tc>
        <w:tc>
          <w:tcPr>
            <w:tcW w:w="2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64FD02C">
            <w:pPr>
              <w:jc w:val="left"/>
            </w:pPr>
            <w:r>
              <w:rPr>
                <w:rFonts w:ascii="Arial" w:hAnsi="Arial" w:eastAsia="Arial" w:cs="Arial"/>
                <w:b/>
                <w:bCs/>
                <w:color w:val="FFFFFF"/>
                <w:sz w:val="20"/>
                <w:szCs w:val="20"/>
              </w:rPr>
              <w:t>Account Type</w:t>
            </w:r>
          </w:p>
        </w:tc>
        <w:tc>
          <w:tcPr>
            <w:tcW w:w="4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A99E135">
            <w:pPr>
              <w:jc w:val="left"/>
            </w:pPr>
            <w:r>
              <w:rPr>
                <w:rFonts w:ascii="Arial" w:hAnsi="Arial" w:eastAsia="Arial" w:cs="Arial"/>
                <w:b/>
                <w:bCs/>
                <w:color w:val="FFFFFF"/>
                <w:sz w:val="20"/>
                <w:szCs w:val="20"/>
              </w:rPr>
              <w:t>Description</w:t>
            </w:r>
          </w:p>
        </w:tc>
      </w:tr>
      <w:tr w14:paraId="0F33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CB2D1C">
            <w:r>
              <w:rPr>
                <w:rFonts w:ascii="Arial" w:hAnsi="Arial" w:eastAsia="Arial" w:cs="Arial"/>
                <w:sz w:val="20"/>
                <w:szCs w:val="20"/>
              </w:rPr>
              <w:t>100000–199999</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45EBBB">
            <w:r>
              <w:rPr>
                <w:rFonts w:ascii="Arial" w:hAnsi="Arial" w:eastAsia="Arial" w:cs="Arial"/>
                <w:sz w:val="20"/>
                <w:szCs w:val="20"/>
              </w:rPr>
              <w:t>Balance Sheet</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C9C967">
            <w:r>
              <w:rPr>
                <w:rFonts w:ascii="Arial" w:hAnsi="Arial" w:eastAsia="Arial" w:cs="Arial"/>
                <w:sz w:val="20"/>
                <w:szCs w:val="20"/>
              </w:rPr>
              <w:t>Assets — Fixed, Current &amp; Intangible</w:t>
            </w:r>
          </w:p>
        </w:tc>
      </w:tr>
      <w:tr w14:paraId="7271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3D5BC66">
            <w:r>
              <w:rPr>
                <w:rFonts w:ascii="Arial" w:hAnsi="Arial" w:eastAsia="Arial" w:cs="Arial"/>
                <w:sz w:val="20"/>
                <w:szCs w:val="20"/>
              </w:rPr>
              <w:t>200000–299999</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623B044">
            <w:r>
              <w:rPr>
                <w:rFonts w:ascii="Arial" w:hAnsi="Arial" w:eastAsia="Arial" w:cs="Arial"/>
                <w:sz w:val="20"/>
                <w:szCs w:val="20"/>
              </w:rPr>
              <w:t>Balance Sheet</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B002C2D">
            <w:r>
              <w:rPr>
                <w:rFonts w:ascii="Arial" w:hAnsi="Arial" w:eastAsia="Arial" w:cs="Arial"/>
                <w:sz w:val="20"/>
                <w:szCs w:val="20"/>
              </w:rPr>
              <w:t>Liabilities &amp; Equity</w:t>
            </w:r>
          </w:p>
        </w:tc>
      </w:tr>
      <w:tr w14:paraId="7724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DB0D8C">
            <w:r>
              <w:rPr>
                <w:rFonts w:ascii="Arial" w:hAnsi="Arial" w:eastAsia="Arial" w:cs="Arial"/>
                <w:sz w:val="20"/>
                <w:szCs w:val="20"/>
              </w:rPr>
              <w:t>300000–399999</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3E651A">
            <w:r>
              <w:rPr>
                <w:rFonts w:ascii="Arial" w:hAnsi="Arial" w:eastAsia="Arial" w:cs="Arial"/>
                <w:sz w:val="20"/>
                <w:szCs w:val="20"/>
              </w:rPr>
              <w:t>P&amp;L</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C7CB46C">
            <w:r>
              <w:rPr>
                <w:rFonts w:ascii="Arial" w:hAnsi="Arial" w:eastAsia="Arial" w:cs="Arial"/>
                <w:sz w:val="20"/>
                <w:szCs w:val="20"/>
              </w:rPr>
              <w:t>Revenue — Professional Services &amp; Products</w:t>
            </w:r>
          </w:p>
        </w:tc>
      </w:tr>
      <w:tr w14:paraId="3C3A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2FE73D6">
            <w:r>
              <w:rPr>
                <w:rFonts w:ascii="Arial" w:hAnsi="Arial" w:eastAsia="Arial" w:cs="Arial"/>
                <w:sz w:val="20"/>
                <w:szCs w:val="20"/>
              </w:rPr>
              <w:t>400000–499999</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7143166">
            <w:r>
              <w:rPr>
                <w:rFonts w:ascii="Arial" w:hAnsi="Arial" w:eastAsia="Arial" w:cs="Arial"/>
                <w:sz w:val="20"/>
                <w:szCs w:val="20"/>
              </w:rPr>
              <w:t>P&amp;L</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244B613">
            <w:r>
              <w:rPr>
                <w:rFonts w:ascii="Arial" w:hAnsi="Arial" w:eastAsia="Arial" w:cs="Arial"/>
                <w:sz w:val="20"/>
                <w:szCs w:val="20"/>
              </w:rPr>
              <w:t>Direct Costs — Salaries &amp; Subcontracting</w:t>
            </w:r>
          </w:p>
        </w:tc>
      </w:tr>
      <w:tr w14:paraId="5DAD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4AC96F">
            <w:r>
              <w:rPr>
                <w:rFonts w:ascii="Arial" w:hAnsi="Arial" w:eastAsia="Arial" w:cs="Arial"/>
                <w:sz w:val="20"/>
                <w:szCs w:val="20"/>
              </w:rPr>
              <w:t>500000–599999</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0B2F21">
            <w:r>
              <w:rPr>
                <w:rFonts w:ascii="Arial" w:hAnsi="Arial" w:eastAsia="Arial" w:cs="Arial"/>
                <w:sz w:val="20"/>
                <w:szCs w:val="20"/>
              </w:rPr>
              <w:t>P&amp;L</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9D476F">
            <w:r>
              <w:rPr>
                <w:rFonts w:ascii="Arial" w:hAnsi="Arial" w:eastAsia="Arial" w:cs="Arial"/>
                <w:sz w:val="20"/>
                <w:szCs w:val="20"/>
              </w:rPr>
              <w:t>Operating Expenses — Rent, Utilities, SaaS</w:t>
            </w:r>
          </w:p>
        </w:tc>
      </w:tr>
      <w:tr w14:paraId="100C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9C45E5D">
            <w:r>
              <w:rPr>
                <w:rFonts w:ascii="Arial" w:hAnsi="Arial" w:eastAsia="Arial" w:cs="Arial"/>
                <w:sz w:val="20"/>
                <w:szCs w:val="20"/>
              </w:rPr>
              <w:t>600000–699999</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54B02D0">
            <w:r>
              <w:rPr>
                <w:rFonts w:ascii="Arial" w:hAnsi="Arial" w:eastAsia="Arial" w:cs="Arial"/>
                <w:sz w:val="20"/>
                <w:szCs w:val="20"/>
              </w:rPr>
              <w:t>P&amp;L</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981D667">
            <w:r>
              <w:rPr>
                <w:rFonts w:ascii="Arial" w:hAnsi="Arial" w:eastAsia="Arial" w:cs="Arial"/>
                <w:sz w:val="20"/>
                <w:szCs w:val="20"/>
              </w:rPr>
              <w:t>Tax &amp; Statutory Accounts (GST, TDS)</w:t>
            </w:r>
          </w:p>
        </w:tc>
      </w:tr>
    </w:tbl>
    <w:p w14:paraId="6BCCB3D1">
      <w:pPr>
        <w:pStyle w:val="3"/>
        <w:spacing w:before="280" w:after="120"/>
      </w:pPr>
      <w:r>
        <w:rPr>
          <w:rFonts w:ascii="Arial" w:hAnsi="Arial" w:eastAsia="Arial" w:cs="Arial"/>
          <w:b/>
          <w:bCs/>
          <w:color w:val="2E75B6"/>
          <w:sz w:val="26"/>
          <w:szCs w:val="26"/>
        </w:rPr>
        <w:t>3.5 Fiscal Year Variant</w:t>
      </w:r>
    </w:p>
    <w:p w14:paraId="1AFC4336">
      <w:pPr>
        <w:spacing w:before="80" w:after="80"/>
      </w:pPr>
      <w:r>
        <w:rPr>
          <w:rFonts w:ascii="Arial" w:hAnsi="Arial" w:eastAsia="Arial" w:cs="Arial"/>
          <w:sz w:val="22"/>
          <w:szCs w:val="22"/>
        </w:rPr>
        <w:t>Nexora follows the Indian Financial Year: April 1 to March 31. Fiscal Year Variant V3 is configured with 12 posting periods (April to March) and 4 special periods for year-end adjustments.</w:t>
      </w:r>
    </w:p>
    <w:p w14:paraId="05E816AA">
      <w:pPr>
        <w:pStyle w:val="3"/>
        <w:spacing w:before="280" w:after="120"/>
      </w:pPr>
      <w:r>
        <w:rPr>
          <w:rFonts w:ascii="Arial" w:hAnsi="Arial" w:eastAsia="Arial" w:cs="Arial"/>
          <w:b/>
          <w:bCs/>
          <w:color w:val="2E75B6"/>
          <w:sz w:val="26"/>
          <w:szCs w:val="26"/>
        </w:rPr>
        <w:t>3.6 Posting Period Variant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80"/>
        <w:gridCol w:w="4880"/>
      </w:tblGrid>
      <w:tr w14:paraId="5611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2161724">
            <w:pPr>
              <w:jc w:val="left"/>
            </w:pPr>
            <w:r>
              <w:rPr>
                <w:rFonts w:ascii="Arial" w:hAnsi="Arial" w:eastAsia="Arial" w:cs="Arial"/>
                <w:b/>
                <w:bCs/>
                <w:color w:val="FFFFFF"/>
                <w:sz w:val="20"/>
                <w:szCs w:val="20"/>
              </w:rPr>
              <w:t>Period</w:t>
            </w:r>
          </w:p>
        </w:tc>
        <w:tc>
          <w:tcPr>
            <w:tcW w:w="248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4C2D189">
            <w:pPr>
              <w:jc w:val="left"/>
            </w:pPr>
            <w:r>
              <w:rPr>
                <w:rFonts w:ascii="Arial" w:hAnsi="Arial" w:eastAsia="Arial" w:cs="Arial"/>
                <w:b/>
                <w:bCs/>
                <w:color w:val="FFFFFF"/>
                <w:sz w:val="20"/>
                <w:szCs w:val="20"/>
              </w:rPr>
              <w:t>Month</w:t>
            </w:r>
          </w:p>
        </w:tc>
        <w:tc>
          <w:tcPr>
            <w:tcW w:w="488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321EC4F">
            <w:pPr>
              <w:jc w:val="left"/>
            </w:pPr>
            <w:r>
              <w:rPr>
                <w:rFonts w:ascii="Arial" w:hAnsi="Arial" w:eastAsia="Arial" w:cs="Arial"/>
                <w:b/>
                <w:bCs/>
                <w:color w:val="FFFFFF"/>
                <w:sz w:val="20"/>
                <w:szCs w:val="20"/>
              </w:rPr>
              <w:t>Open/Close Status</w:t>
            </w:r>
          </w:p>
        </w:tc>
      </w:tr>
      <w:tr w14:paraId="0499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F8CF64">
            <w:r>
              <w:rPr>
                <w:rFonts w:ascii="Arial" w:hAnsi="Arial" w:eastAsia="Arial" w:cs="Arial"/>
                <w:sz w:val="20"/>
                <w:szCs w:val="20"/>
              </w:rPr>
              <w:t>Period 1</w:t>
            </w:r>
          </w:p>
        </w:tc>
        <w:tc>
          <w:tcPr>
            <w:tcW w:w="2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21992B">
            <w:r>
              <w:rPr>
                <w:rFonts w:ascii="Arial" w:hAnsi="Arial" w:eastAsia="Arial" w:cs="Arial"/>
                <w:sz w:val="20"/>
                <w:szCs w:val="20"/>
              </w:rPr>
              <w:t>April</w:t>
            </w:r>
          </w:p>
        </w:tc>
        <w:tc>
          <w:tcPr>
            <w:tcW w:w="48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120747">
            <w:r>
              <w:rPr>
                <w:rFonts w:ascii="Arial" w:hAnsi="Arial" w:eastAsia="Arial" w:cs="Arial"/>
                <w:sz w:val="20"/>
                <w:szCs w:val="20"/>
              </w:rPr>
              <w:t>Open</w:t>
            </w:r>
          </w:p>
        </w:tc>
      </w:tr>
      <w:tr w14:paraId="6B81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F76F4D9">
            <w:r>
              <w:rPr>
                <w:rFonts w:ascii="Arial" w:hAnsi="Arial" w:eastAsia="Arial" w:cs="Arial"/>
                <w:sz w:val="20"/>
                <w:szCs w:val="20"/>
              </w:rPr>
              <w:t>Period 2</w:t>
            </w:r>
          </w:p>
        </w:tc>
        <w:tc>
          <w:tcPr>
            <w:tcW w:w="24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EF90BE6">
            <w:r>
              <w:rPr>
                <w:rFonts w:ascii="Arial" w:hAnsi="Arial" w:eastAsia="Arial" w:cs="Arial"/>
                <w:sz w:val="20"/>
                <w:szCs w:val="20"/>
              </w:rPr>
              <w:t>May</w:t>
            </w:r>
          </w:p>
        </w:tc>
        <w:tc>
          <w:tcPr>
            <w:tcW w:w="48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B791294">
            <w:r>
              <w:rPr>
                <w:rFonts w:ascii="Arial" w:hAnsi="Arial" w:eastAsia="Arial" w:cs="Arial"/>
                <w:sz w:val="20"/>
                <w:szCs w:val="20"/>
              </w:rPr>
              <w:t>Open</w:t>
            </w:r>
          </w:p>
        </w:tc>
      </w:tr>
      <w:tr w14:paraId="3F80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4C1D5D">
            <w:r>
              <w:rPr>
                <w:rFonts w:ascii="Arial" w:hAnsi="Arial" w:eastAsia="Arial" w:cs="Arial"/>
                <w:sz w:val="20"/>
                <w:szCs w:val="20"/>
              </w:rPr>
              <w:t>Period 3</w:t>
            </w:r>
          </w:p>
        </w:tc>
        <w:tc>
          <w:tcPr>
            <w:tcW w:w="2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4BC338">
            <w:r>
              <w:rPr>
                <w:rFonts w:ascii="Arial" w:hAnsi="Arial" w:eastAsia="Arial" w:cs="Arial"/>
                <w:sz w:val="20"/>
                <w:szCs w:val="20"/>
              </w:rPr>
              <w:t>June</w:t>
            </w:r>
          </w:p>
        </w:tc>
        <w:tc>
          <w:tcPr>
            <w:tcW w:w="48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AF9754">
            <w:r>
              <w:rPr>
                <w:rFonts w:ascii="Arial" w:hAnsi="Arial" w:eastAsia="Arial" w:cs="Arial"/>
                <w:sz w:val="20"/>
                <w:szCs w:val="20"/>
              </w:rPr>
              <w:t>Open</w:t>
            </w:r>
          </w:p>
        </w:tc>
      </w:tr>
      <w:tr w14:paraId="7BA8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36AED68">
            <w:r>
              <w:rPr>
                <w:rFonts w:ascii="Arial" w:hAnsi="Arial" w:eastAsia="Arial" w:cs="Arial"/>
                <w:sz w:val="20"/>
                <w:szCs w:val="20"/>
              </w:rPr>
              <w:t>Period 4–12</w:t>
            </w:r>
          </w:p>
        </w:tc>
        <w:tc>
          <w:tcPr>
            <w:tcW w:w="24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8CCCF5F">
            <w:r>
              <w:rPr>
                <w:rFonts w:ascii="Arial" w:hAnsi="Arial" w:eastAsia="Arial" w:cs="Arial"/>
                <w:sz w:val="20"/>
                <w:szCs w:val="20"/>
              </w:rPr>
              <w:t>July–March</w:t>
            </w:r>
          </w:p>
        </w:tc>
        <w:tc>
          <w:tcPr>
            <w:tcW w:w="48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276372F">
            <w:r>
              <w:rPr>
                <w:rFonts w:ascii="Arial" w:hAnsi="Arial" w:eastAsia="Arial" w:cs="Arial"/>
                <w:sz w:val="20"/>
                <w:szCs w:val="20"/>
              </w:rPr>
              <w:t>Controlled by Finance Team</w:t>
            </w:r>
          </w:p>
        </w:tc>
      </w:tr>
      <w:tr w14:paraId="2F71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8632BF">
            <w:r>
              <w:rPr>
                <w:rFonts w:ascii="Arial" w:hAnsi="Arial" w:eastAsia="Arial" w:cs="Arial"/>
                <w:sz w:val="20"/>
                <w:szCs w:val="20"/>
              </w:rPr>
              <w:t>Special 13–16</w:t>
            </w:r>
          </w:p>
        </w:tc>
        <w:tc>
          <w:tcPr>
            <w:tcW w:w="2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5ABABF">
            <w:r>
              <w:rPr>
                <w:rFonts w:ascii="Arial" w:hAnsi="Arial" w:eastAsia="Arial" w:cs="Arial"/>
                <w:sz w:val="20"/>
                <w:szCs w:val="20"/>
              </w:rPr>
              <w:t>Year-End</w:t>
            </w:r>
          </w:p>
        </w:tc>
        <w:tc>
          <w:tcPr>
            <w:tcW w:w="48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0F2A3E">
            <w:r>
              <w:rPr>
                <w:rFonts w:ascii="Arial" w:hAnsi="Arial" w:eastAsia="Arial" w:cs="Arial"/>
                <w:sz w:val="20"/>
                <w:szCs w:val="20"/>
              </w:rPr>
              <w:t>Open during closing only</w:t>
            </w:r>
          </w:p>
        </w:tc>
      </w:tr>
    </w:tbl>
    <w:p w14:paraId="2C620F2A">
      <w:pPr>
        <w:pStyle w:val="3"/>
        <w:spacing w:before="280" w:after="120"/>
      </w:pPr>
      <w:r>
        <w:rPr>
          <w:rFonts w:ascii="Arial" w:hAnsi="Arial" w:eastAsia="Arial" w:cs="Arial"/>
          <w:b/>
          <w:bCs/>
          <w:color w:val="2E75B6"/>
          <w:sz w:val="26"/>
          <w:szCs w:val="26"/>
        </w:rPr>
        <w:t>3.7 Document Types &amp; Number Ranges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3000"/>
        <w:gridCol w:w="2960"/>
      </w:tblGrid>
      <w:tr w14:paraId="7861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D0B194D">
            <w:pPr>
              <w:jc w:val="left"/>
            </w:pPr>
            <w:r>
              <w:rPr>
                <w:rFonts w:ascii="Arial" w:hAnsi="Arial" w:eastAsia="Arial" w:cs="Arial"/>
                <w:b/>
                <w:bCs/>
                <w:color w:val="FFFFFF"/>
                <w:sz w:val="20"/>
                <w:szCs w:val="20"/>
              </w:rPr>
              <w:t>Document Type</w:t>
            </w:r>
          </w:p>
        </w:tc>
        <w:tc>
          <w:tcPr>
            <w:tcW w:w="1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02A508E">
            <w:pPr>
              <w:jc w:val="left"/>
            </w:pPr>
            <w:r>
              <w:rPr>
                <w:rFonts w:ascii="Arial" w:hAnsi="Arial" w:eastAsia="Arial" w:cs="Arial"/>
                <w:b/>
                <w:bCs/>
                <w:color w:val="FFFFFF"/>
                <w:sz w:val="20"/>
                <w:szCs w:val="20"/>
              </w:rPr>
              <w:t>Code</w:t>
            </w:r>
          </w:p>
        </w:tc>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221E067">
            <w:pPr>
              <w:jc w:val="left"/>
            </w:pPr>
            <w:r>
              <w:rPr>
                <w:rFonts w:ascii="Arial" w:hAnsi="Arial" w:eastAsia="Arial" w:cs="Arial"/>
                <w:b/>
                <w:bCs/>
                <w:color w:val="FFFFFF"/>
                <w:sz w:val="20"/>
                <w:szCs w:val="20"/>
              </w:rPr>
              <w:t>Description</w:t>
            </w:r>
          </w:p>
        </w:tc>
        <w:tc>
          <w:tcPr>
            <w:tcW w:w="29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D945D25">
            <w:pPr>
              <w:jc w:val="left"/>
            </w:pPr>
            <w:r>
              <w:rPr>
                <w:rFonts w:ascii="Arial" w:hAnsi="Arial" w:eastAsia="Arial" w:cs="Arial"/>
                <w:b/>
                <w:bCs/>
                <w:color w:val="FFFFFF"/>
                <w:sz w:val="20"/>
                <w:szCs w:val="20"/>
              </w:rPr>
              <w:t>Number Range</w:t>
            </w:r>
          </w:p>
        </w:tc>
      </w:tr>
      <w:tr w14:paraId="3D27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00F3AA">
            <w:r>
              <w:rPr>
                <w:rFonts w:ascii="Arial" w:hAnsi="Arial" w:eastAsia="Arial" w:cs="Arial"/>
                <w:sz w:val="20"/>
                <w:szCs w:val="20"/>
              </w:rPr>
              <w:t>Vendor Invoice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747316">
            <w:r>
              <w:rPr>
                <w:rFonts w:ascii="Arial" w:hAnsi="Arial" w:eastAsia="Arial" w:cs="Arial"/>
                <w:sz w:val="20"/>
                <w:szCs w:val="20"/>
              </w:rPr>
              <w:t>KR</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2849FC">
            <w:r>
              <w:rPr>
                <w:rFonts w:ascii="Arial" w:hAnsi="Arial" w:eastAsia="Arial" w:cs="Arial"/>
                <w:sz w:val="20"/>
                <w:szCs w:val="20"/>
              </w:rPr>
              <w:t>AP Invoice — Hardware/Software</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2CDFAB">
            <w:r>
              <w:rPr>
                <w:rFonts w:ascii="Arial" w:hAnsi="Arial" w:eastAsia="Arial" w:cs="Arial"/>
                <w:sz w:val="20"/>
                <w:szCs w:val="20"/>
              </w:rPr>
              <w:t>1900000000–1999999999</w:t>
            </w:r>
          </w:p>
        </w:tc>
      </w:tr>
      <w:tr w14:paraId="7F4D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4E805A9">
            <w:r>
              <w:rPr>
                <w:rFonts w:ascii="Arial" w:hAnsi="Arial" w:eastAsia="Arial" w:cs="Arial"/>
                <w:sz w:val="20"/>
                <w:szCs w:val="20"/>
              </w:rPr>
              <w:t>Customer Invoice</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4FCE193">
            <w:r>
              <w:rPr>
                <w:rFonts w:ascii="Arial" w:hAnsi="Arial" w:eastAsia="Arial" w:cs="Arial"/>
                <w:sz w:val="20"/>
                <w:szCs w:val="20"/>
              </w:rPr>
              <w:t>DR</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C2A5A97">
            <w:r>
              <w:rPr>
                <w:rFonts w:ascii="Arial" w:hAnsi="Arial" w:eastAsia="Arial" w:cs="Arial"/>
                <w:sz w:val="20"/>
                <w:szCs w:val="20"/>
              </w:rPr>
              <w:t>AR Invoice — Client Billing</w:t>
            </w:r>
          </w:p>
        </w:tc>
        <w:tc>
          <w:tcPr>
            <w:tcW w:w="29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D526BFC">
            <w:r>
              <w:rPr>
                <w:rFonts w:ascii="Arial" w:hAnsi="Arial" w:eastAsia="Arial" w:cs="Arial"/>
                <w:sz w:val="20"/>
                <w:szCs w:val="20"/>
              </w:rPr>
              <w:t>1800000000–1899999999</w:t>
            </w:r>
          </w:p>
        </w:tc>
      </w:tr>
      <w:tr w14:paraId="60B6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D0E6EF">
            <w:r>
              <w:rPr>
                <w:rFonts w:ascii="Arial" w:hAnsi="Arial" w:eastAsia="Arial" w:cs="Arial"/>
                <w:sz w:val="20"/>
                <w:szCs w:val="20"/>
              </w:rPr>
              <w:t>General Journal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999CD0">
            <w:r>
              <w:rPr>
                <w:rFonts w:ascii="Arial" w:hAnsi="Arial" w:eastAsia="Arial" w:cs="Arial"/>
                <w:sz w:val="20"/>
                <w:szCs w:val="20"/>
              </w:rPr>
              <w:t>SA</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7CA689">
            <w:r>
              <w:rPr>
                <w:rFonts w:ascii="Arial" w:hAnsi="Arial" w:eastAsia="Arial" w:cs="Arial"/>
                <w:sz w:val="20"/>
                <w:szCs w:val="20"/>
              </w:rPr>
              <w:t>GL Journal Entry</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F031FB">
            <w:r>
              <w:rPr>
                <w:rFonts w:ascii="Arial" w:hAnsi="Arial" w:eastAsia="Arial" w:cs="Arial"/>
                <w:sz w:val="20"/>
                <w:szCs w:val="20"/>
              </w:rPr>
              <w:t>1000000000–1099999999</w:t>
            </w:r>
          </w:p>
        </w:tc>
      </w:tr>
      <w:tr w14:paraId="5BF7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37EA353">
            <w:r>
              <w:rPr>
                <w:rFonts w:ascii="Arial" w:hAnsi="Arial" w:eastAsia="Arial" w:cs="Arial"/>
                <w:sz w:val="20"/>
                <w:szCs w:val="20"/>
              </w:rPr>
              <w:t>Payment</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936D4EB">
            <w:r>
              <w:rPr>
                <w:rFonts w:ascii="Arial" w:hAnsi="Arial" w:eastAsia="Arial" w:cs="Arial"/>
                <w:sz w:val="20"/>
                <w:szCs w:val="20"/>
              </w:rPr>
              <w:t>ZP</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FF0B95E">
            <w:r>
              <w:rPr>
                <w:rFonts w:ascii="Arial" w:hAnsi="Arial" w:eastAsia="Arial" w:cs="Arial"/>
                <w:sz w:val="20"/>
                <w:szCs w:val="20"/>
              </w:rPr>
              <w:t>Outgoing Payment</w:t>
            </w:r>
          </w:p>
        </w:tc>
        <w:tc>
          <w:tcPr>
            <w:tcW w:w="29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D9BCDF7">
            <w:r>
              <w:rPr>
                <w:rFonts w:ascii="Arial" w:hAnsi="Arial" w:eastAsia="Arial" w:cs="Arial"/>
                <w:sz w:val="20"/>
                <w:szCs w:val="20"/>
              </w:rPr>
              <w:t>1700000000–1799999999</w:t>
            </w:r>
          </w:p>
        </w:tc>
      </w:tr>
      <w:tr w14:paraId="5AAD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4465B0">
            <w:r>
              <w:rPr>
                <w:rFonts w:ascii="Arial" w:hAnsi="Arial" w:eastAsia="Arial" w:cs="Arial"/>
                <w:sz w:val="20"/>
                <w:szCs w:val="20"/>
              </w:rPr>
              <w:t>Credit Memo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08683B">
            <w:r>
              <w:rPr>
                <w:rFonts w:ascii="Arial" w:hAnsi="Arial" w:eastAsia="Arial" w:cs="Arial"/>
                <w:sz w:val="20"/>
                <w:szCs w:val="20"/>
              </w:rPr>
              <w:t>KG</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9BA634">
            <w:r>
              <w:rPr>
                <w:rFonts w:ascii="Arial" w:hAnsi="Arial" w:eastAsia="Arial" w:cs="Arial"/>
                <w:sz w:val="20"/>
                <w:szCs w:val="20"/>
              </w:rPr>
              <w:t>Vendor Credit Adjustment</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5594F2">
            <w:r>
              <w:rPr>
                <w:rFonts w:ascii="Arial" w:hAnsi="Arial" w:eastAsia="Arial" w:cs="Arial"/>
                <w:sz w:val="20"/>
                <w:szCs w:val="20"/>
              </w:rPr>
              <w:t>1600000000–1699999999</w:t>
            </w:r>
          </w:p>
        </w:tc>
      </w:tr>
    </w:tbl>
    <w:p w14:paraId="3A659116">
      <w:pPr>
        <w:pStyle w:val="3"/>
        <w:spacing w:before="280" w:after="120"/>
      </w:pPr>
      <w:r>
        <w:rPr>
          <w:rFonts w:ascii="Arial" w:hAnsi="Arial" w:eastAsia="Arial" w:cs="Arial"/>
          <w:b/>
          <w:bCs/>
          <w:color w:val="2E75B6"/>
          <w:sz w:val="26"/>
          <w:szCs w:val="26"/>
        </w:rPr>
        <w:t>3.8 Key FI Customization Steps</w:t>
      </w:r>
    </w:p>
    <w:p w14:paraId="57BB8E51">
      <w:pPr>
        <w:spacing w:before="160" w:after="60"/>
      </w:pPr>
      <w:r>
        <w:rPr>
          <w:rFonts w:ascii="Arial" w:hAnsi="Arial" w:eastAsia="Arial" w:cs="Arial"/>
          <w:b/>
          <w:bCs/>
          <w:color w:val="2E75B6"/>
          <w:sz w:val="22"/>
          <w:szCs w:val="22"/>
        </w:rPr>
        <w:t>Step 1: Define Company</w:t>
      </w:r>
    </w:p>
    <w:p w14:paraId="7EE8DF82">
      <w:pPr>
        <w:pStyle w:val="17"/>
        <w:numPr>
          <w:ilvl w:val="0"/>
          <w:numId w:val="1"/>
        </w:numPr>
        <w:spacing w:before="40" w:after="40"/>
      </w:pPr>
      <w:r>
        <w:rPr>
          <w:rFonts w:ascii="Arial" w:hAnsi="Arial" w:eastAsia="Arial" w:cs="Arial"/>
          <w:sz w:val="20"/>
          <w:szCs w:val="20"/>
        </w:rPr>
        <w:t>Path: SPRO → Enterprise Structure → Definition → Financial Accounting → Define Company</w:t>
      </w:r>
    </w:p>
    <w:p w14:paraId="094CCAEE">
      <w:pPr>
        <w:pStyle w:val="17"/>
        <w:numPr>
          <w:ilvl w:val="0"/>
          <w:numId w:val="1"/>
        </w:numPr>
        <w:spacing w:before="40" w:after="40"/>
      </w:pPr>
      <w:r>
        <w:rPr>
          <w:rFonts w:ascii="Arial" w:hAnsi="Arial" w:eastAsia="Arial" w:cs="Arial"/>
          <w:sz w:val="20"/>
          <w:szCs w:val="20"/>
        </w:rPr>
        <w:t>Company ID: NXPL | Name: Nexora IT Services Pvt. Ltd. | Country: IN | Currency: INR</w:t>
      </w:r>
    </w:p>
    <w:p w14:paraId="13E22197">
      <w:pPr>
        <w:spacing w:before="160" w:after="60"/>
      </w:pPr>
      <w:r>
        <w:rPr>
          <w:rFonts w:ascii="Arial" w:hAnsi="Arial" w:eastAsia="Arial" w:cs="Arial"/>
          <w:b/>
          <w:bCs/>
          <w:color w:val="2E75B6"/>
          <w:sz w:val="22"/>
          <w:szCs w:val="22"/>
        </w:rPr>
        <w:t>Step 2: Define Company Code</w:t>
      </w:r>
    </w:p>
    <w:p w14:paraId="362DBF56">
      <w:pPr>
        <w:pStyle w:val="17"/>
        <w:numPr>
          <w:ilvl w:val="0"/>
          <w:numId w:val="1"/>
        </w:numPr>
        <w:spacing w:before="40" w:after="40"/>
      </w:pPr>
      <w:r>
        <w:rPr>
          <w:rFonts w:ascii="Arial" w:hAnsi="Arial" w:eastAsia="Arial" w:cs="Arial"/>
          <w:sz w:val="20"/>
          <w:szCs w:val="20"/>
        </w:rPr>
        <w:t>Path: SPRO → Enterprise Structure → Definition → Financial Accounting → Edit, Copy, Delete, Check Company Code</w:t>
      </w:r>
    </w:p>
    <w:p w14:paraId="50A1F1C2">
      <w:pPr>
        <w:pStyle w:val="17"/>
        <w:numPr>
          <w:ilvl w:val="0"/>
          <w:numId w:val="1"/>
        </w:numPr>
        <w:spacing w:before="40" w:after="40"/>
      </w:pPr>
      <w:r>
        <w:rPr>
          <w:rFonts w:ascii="Arial" w:hAnsi="Arial" w:eastAsia="Arial" w:cs="Arial"/>
          <w:sz w:val="20"/>
          <w:szCs w:val="20"/>
        </w:rPr>
        <w:t>Company Code: NXPL | Assign to Company: NXPL | T-Code: OX02</w:t>
      </w:r>
    </w:p>
    <w:p w14:paraId="534C0806">
      <w:pPr>
        <w:spacing w:before="160" w:after="60"/>
      </w:pPr>
      <w:r>
        <w:rPr>
          <w:rFonts w:ascii="Arial" w:hAnsi="Arial" w:eastAsia="Arial" w:cs="Arial"/>
          <w:b/>
          <w:bCs/>
          <w:color w:val="2E75B6"/>
          <w:sz w:val="22"/>
          <w:szCs w:val="22"/>
        </w:rPr>
        <w:t>Step 3: Assign Company Code to Chart of Accounts</w:t>
      </w:r>
    </w:p>
    <w:p w14:paraId="789E675E">
      <w:pPr>
        <w:pStyle w:val="17"/>
        <w:numPr>
          <w:ilvl w:val="0"/>
          <w:numId w:val="1"/>
        </w:numPr>
        <w:spacing w:before="40" w:after="40"/>
      </w:pPr>
      <w:r>
        <w:rPr>
          <w:rFonts w:ascii="Arial" w:hAnsi="Arial" w:eastAsia="Arial" w:cs="Arial"/>
          <w:sz w:val="20"/>
          <w:szCs w:val="20"/>
        </w:rPr>
        <w:t>Path: SPRO → Financial Accounting → General Ledger → GL Accounts → Master Data → Assign COA</w:t>
      </w:r>
    </w:p>
    <w:p w14:paraId="2F657087">
      <w:pPr>
        <w:pStyle w:val="17"/>
        <w:numPr>
          <w:ilvl w:val="0"/>
          <w:numId w:val="1"/>
        </w:numPr>
        <w:spacing w:before="40" w:after="40"/>
      </w:pPr>
      <w:r>
        <w:rPr>
          <w:rFonts w:ascii="Arial" w:hAnsi="Arial" w:eastAsia="Arial" w:cs="Arial"/>
          <w:sz w:val="20"/>
          <w:szCs w:val="20"/>
        </w:rPr>
        <w:t>Company Code NXPL → COA: NXCA | T-Code: OB62</w:t>
      </w:r>
    </w:p>
    <w:p w14:paraId="6D2F8335">
      <w:pPr>
        <w:spacing w:before="160" w:after="60"/>
      </w:pPr>
      <w:r>
        <w:rPr>
          <w:rFonts w:ascii="Arial" w:hAnsi="Arial" w:eastAsia="Arial" w:cs="Arial"/>
          <w:b/>
          <w:bCs/>
          <w:color w:val="2E75B6"/>
          <w:sz w:val="22"/>
          <w:szCs w:val="22"/>
        </w:rPr>
        <w:t>Step 4: Define Fiscal Year Variant</w:t>
      </w:r>
    </w:p>
    <w:p w14:paraId="4E3A35BB">
      <w:pPr>
        <w:pStyle w:val="17"/>
        <w:numPr>
          <w:ilvl w:val="0"/>
          <w:numId w:val="1"/>
        </w:numPr>
        <w:spacing w:before="40" w:after="40"/>
      </w:pPr>
      <w:r>
        <w:rPr>
          <w:rFonts w:ascii="Arial" w:hAnsi="Arial" w:eastAsia="Arial" w:cs="Arial"/>
          <w:sz w:val="20"/>
          <w:szCs w:val="20"/>
        </w:rPr>
        <w:t>Path: SPRO → Financial Accounting → FA Global Settings → Fiscal Year → Maintain Fiscal Year Variant</w:t>
      </w:r>
    </w:p>
    <w:p w14:paraId="3FE63C7D">
      <w:pPr>
        <w:pStyle w:val="17"/>
        <w:numPr>
          <w:ilvl w:val="0"/>
          <w:numId w:val="1"/>
        </w:numPr>
        <w:spacing w:before="40" w:after="40"/>
      </w:pPr>
      <w:r>
        <w:rPr>
          <w:rFonts w:ascii="Arial" w:hAnsi="Arial" w:eastAsia="Arial" w:cs="Arial"/>
          <w:sz w:val="20"/>
          <w:szCs w:val="20"/>
        </w:rPr>
        <w:t>Variant: V3 | Description: April–March (Indian FY) | 12 Normal + 4 Special Periods | T-Code: OB29</w:t>
      </w:r>
    </w:p>
    <w:p w14:paraId="586520D5">
      <w:pPr>
        <w:spacing w:before="160" w:after="60"/>
      </w:pPr>
      <w:r>
        <w:rPr>
          <w:rFonts w:ascii="Arial" w:hAnsi="Arial" w:eastAsia="Arial" w:cs="Arial"/>
          <w:b/>
          <w:bCs/>
          <w:color w:val="2E75B6"/>
          <w:sz w:val="22"/>
          <w:szCs w:val="22"/>
        </w:rPr>
        <w:t>Step 5: Assign Fiscal Year Variant to Company Code</w:t>
      </w:r>
    </w:p>
    <w:p w14:paraId="6B47B52F">
      <w:pPr>
        <w:pStyle w:val="17"/>
        <w:numPr>
          <w:ilvl w:val="0"/>
          <w:numId w:val="1"/>
        </w:numPr>
        <w:spacing w:before="40" w:after="40"/>
      </w:pPr>
      <w:r>
        <w:rPr>
          <w:rFonts w:ascii="Arial" w:hAnsi="Arial" w:eastAsia="Arial" w:cs="Arial"/>
          <w:sz w:val="20"/>
          <w:szCs w:val="20"/>
        </w:rPr>
        <w:t>T-Code: OB37 — Assign V3 to Company Code NXPL</w:t>
      </w:r>
    </w:p>
    <w:p w14:paraId="125D2858">
      <w:pPr>
        <w:spacing w:before="160" w:after="60"/>
      </w:pPr>
      <w:r>
        <w:rPr>
          <w:rFonts w:ascii="Arial" w:hAnsi="Arial" w:eastAsia="Arial" w:cs="Arial"/>
          <w:b/>
          <w:bCs/>
          <w:color w:val="2E75B6"/>
          <w:sz w:val="22"/>
          <w:szCs w:val="22"/>
        </w:rPr>
        <w:t>Step 6: Define Document Types &amp; Number Ranges</w:t>
      </w:r>
    </w:p>
    <w:p w14:paraId="626765F3">
      <w:pPr>
        <w:pStyle w:val="17"/>
        <w:numPr>
          <w:ilvl w:val="0"/>
          <w:numId w:val="1"/>
        </w:numPr>
        <w:spacing w:before="40" w:after="40"/>
      </w:pPr>
      <w:r>
        <w:rPr>
          <w:rFonts w:ascii="Arial" w:hAnsi="Arial" w:eastAsia="Arial" w:cs="Arial"/>
          <w:sz w:val="20"/>
          <w:szCs w:val="20"/>
        </w:rPr>
        <w:t>T-Code: OBA7 — Define document types KR, DR, SA, ZP, KG</w:t>
      </w:r>
    </w:p>
    <w:p w14:paraId="62C68DA1">
      <w:pPr>
        <w:pStyle w:val="17"/>
        <w:numPr>
          <w:ilvl w:val="0"/>
          <w:numId w:val="1"/>
        </w:numPr>
        <w:spacing w:before="40" w:after="40"/>
      </w:pPr>
      <w:r>
        <w:rPr>
          <w:rFonts w:ascii="Arial" w:hAnsi="Arial" w:eastAsia="Arial" w:cs="Arial"/>
          <w:sz w:val="20"/>
          <w:szCs w:val="20"/>
        </w:rPr>
        <w:t>T-Code: FBN1 — Maintain number ranges for each document type per fiscal year</w:t>
      </w:r>
    </w:p>
    <w:p w14:paraId="249BB10C">
      <w:r>
        <w:br w:type="page"/>
      </w:r>
    </w:p>
    <w:p w14:paraId="7CCBB382">
      <w:pPr>
        <w:pStyle w:val="2"/>
        <w:pBdr>
          <w:bottom w:val="single" w:color="2E75B6" w:sz="4" w:space="4"/>
        </w:pBdr>
        <w:spacing w:before="360" w:after="160"/>
      </w:pPr>
      <w:r>
        <w:rPr>
          <w:rFonts w:ascii="Arial" w:hAnsi="Arial" w:eastAsia="Arial" w:cs="Arial"/>
          <w:b/>
          <w:bCs/>
          <w:color w:val="1F4E79"/>
          <w:sz w:val="32"/>
          <w:szCs w:val="32"/>
        </w:rPr>
        <w:t>4. Materials Management (MM) Module Configuration</w:t>
      </w:r>
    </w:p>
    <w:p w14:paraId="00786E46">
      <w:pPr>
        <w:pStyle w:val="3"/>
        <w:spacing w:before="280" w:after="120"/>
      </w:pPr>
      <w:r>
        <w:rPr>
          <w:rFonts w:ascii="Arial" w:hAnsi="Arial" w:eastAsia="Arial" w:cs="Arial"/>
          <w:b/>
          <w:bCs/>
          <w:color w:val="2E75B6"/>
          <w:sz w:val="26"/>
          <w:szCs w:val="26"/>
        </w:rPr>
        <w:t>4.1 Module Overview</w:t>
      </w:r>
    </w:p>
    <w:p w14:paraId="31F84664">
      <w:pPr>
        <w:spacing w:before="80" w:after="80"/>
      </w:pPr>
      <w:r>
        <w:rPr>
          <w:rFonts w:ascii="Arial" w:hAnsi="Arial" w:eastAsia="Arial" w:cs="Arial"/>
          <w:sz w:val="22"/>
          <w:szCs w:val="22"/>
        </w:rPr>
        <w:t>The Materials Management (MM) module manages Nexora's complete Procure-to-Pay cycle for IT assets and services — hardware procurement (laptops, servers, networking gear), licensed software, cloud infrastructure subscriptions, and third-party subcontracting services. It covers purchase requisition, vendor selection, goods/service receipt, and invoice verification.</w:t>
      </w:r>
    </w:p>
    <w:p w14:paraId="036D6DEA">
      <w:pPr>
        <w:pStyle w:val="3"/>
        <w:spacing w:before="280" w:after="120"/>
      </w:pPr>
      <w:r>
        <w:rPr>
          <w:rFonts w:ascii="Arial" w:hAnsi="Arial" w:eastAsia="Arial" w:cs="Arial"/>
          <w:b/>
          <w:bCs/>
          <w:color w:val="2E75B6"/>
          <w:sz w:val="26"/>
          <w:szCs w:val="26"/>
        </w:rPr>
        <w:t>4.2 Plant Configuration</w:t>
      </w:r>
    </w:p>
    <w:p w14:paraId="0EB9AE40">
      <w:pPr>
        <w:spacing w:before="80" w:after="80"/>
      </w:pPr>
      <w:r>
        <w:rPr>
          <w:rFonts w:ascii="Arial" w:hAnsi="Arial" w:eastAsia="Arial" w:cs="Arial"/>
          <w:sz w:val="22"/>
          <w:szCs w:val="22"/>
        </w:rPr>
        <w:t>In SAP MM, a Plant represents a delivery centre or operational unit. Nexora operates two delivery centres configured as plants: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800"/>
        <w:gridCol w:w="2400"/>
        <w:gridCol w:w="1360"/>
      </w:tblGrid>
      <w:tr w14:paraId="335E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F140139">
            <w:pPr>
              <w:jc w:val="left"/>
            </w:pPr>
            <w:r>
              <w:rPr>
                <w:rFonts w:ascii="Arial" w:hAnsi="Arial" w:eastAsia="Arial" w:cs="Arial"/>
                <w:b/>
                <w:bCs/>
                <w:color w:val="FFFFFF"/>
                <w:sz w:val="20"/>
                <w:szCs w:val="20"/>
              </w:rPr>
              <w:t>Plant Code</w:t>
            </w:r>
          </w:p>
        </w:tc>
        <w:tc>
          <w:tcPr>
            <w:tcW w:w="3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B2AE1DC">
            <w:pPr>
              <w:jc w:val="left"/>
            </w:pPr>
            <w:r>
              <w:rPr>
                <w:rFonts w:ascii="Arial" w:hAnsi="Arial" w:eastAsia="Arial" w:cs="Arial"/>
                <w:b/>
                <w:bCs/>
                <w:color w:val="FFFFFF"/>
                <w:sz w:val="20"/>
                <w:szCs w:val="20"/>
              </w:rPr>
              <w:t>Plant Name</w:t>
            </w:r>
          </w:p>
        </w:tc>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9DA8AE0">
            <w:pPr>
              <w:jc w:val="left"/>
            </w:pPr>
            <w:r>
              <w:rPr>
                <w:rFonts w:ascii="Arial" w:hAnsi="Arial" w:eastAsia="Arial" w:cs="Arial"/>
                <w:b/>
                <w:bCs/>
                <w:color w:val="FFFFFF"/>
                <w:sz w:val="20"/>
                <w:szCs w:val="20"/>
              </w:rPr>
              <w:t>Location</w:t>
            </w:r>
          </w:p>
        </w:tc>
        <w:tc>
          <w:tcPr>
            <w:tcW w:w="1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FCCCE0C">
            <w:pPr>
              <w:jc w:val="left"/>
            </w:pPr>
            <w:r>
              <w:rPr>
                <w:rFonts w:ascii="Arial" w:hAnsi="Arial" w:eastAsia="Arial" w:cs="Arial"/>
                <w:b/>
                <w:bCs/>
                <w:color w:val="FFFFFF"/>
                <w:sz w:val="20"/>
                <w:szCs w:val="20"/>
              </w:rPr>
              <w:t>Type</w:t>
            </w:r>
          </w:p>
        </w:tc>
      </w:tr>
      <w:tr w14:paraId="10A7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73EBE9">
            <w:r>
              <w:rPr>
                <w:rFonts w:ascii="Arial" w:hAnsi="Arial" w:eastAsia="Arial" w:cs="Arial"/>
                <w:sz w:val="20"/>
                <w:szCs w:val="20"/>
              </w:rPr>
              <w:t>NX01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98A970">
            <w:r>
              <w:rPr>
                <w:rFonts w:ascii="Arial" w:hAnsi="Arial" w:eastAsia="Arial" w:cs="Arial"/>
                <w:sz w:val="20"/>
                <w:szCs w:val="20"/>
              </w:rPr>
              <w:t>Nexora Bengaluru Delivery Centre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6FC90B">
            <w:r>
              <w:rPr>
                <w:rFonts w:ascii="Arial" w:hAnsi="Arial" w:eastAsia="Arial" w:cs="Arial"/>
                <w:sz w:val="20"/>
                <w:szCs w:val="20"/>
              </w:rPr>
              <w:t>Bengaluru, Karnataka</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8FD886">
            <w:r>
              <w:rPr>
                <w:rFonts w:ascii="Arial" w:hAnsi="Arial" w:eastAsia="Arial" w:cs="Arial"/>
                <w:sz w:val="20"/>
                <w:szCs w:val="20"/>
              </w:rPr>
              <w:t>Primary Delivery &amp; HQ</w:t>
            </w:r>
          </w:p>
        </w:tc>
      </w:tr>
      <w:tr w14:paraId="2C32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0DE770E">
            <w:r>
              <w:rPr>
                <w:rFonts w:ascii="Arial" w:hAnsi="Arial" w:eastAsia="Arial" w:cs="Arial"/>
                <w:sz w:val="20"/>
                <w:szCs w:val="20"/>
              </w:rPr>
              <w:t>NX02</w:t>
            </w:r>
          </w:p>
        </w:tc>
        <w:tc>
          <w:tcPr>
            <w:tcW w:w="3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B3807F3">
            <w:r>
              <w:rPr>
                <w:rFonts w:ascii="Arial" w:hAnsi="Arial" w:eastAsia="Arial" w:cs="Arial"/>
                <w:sz w:val="20"/>
                <w:szCs w:val="20"/>
              </w:rPr>
              <w:t>Nexora Hyderabad Delivery Centre</w:t>
            </w:r>
          </w:p>
        </w:tc>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2F743DE">
            <w:r>
              <w:rPr>
                <w:rFonts w:ascii="Arial" w:hAnsi="Arial" w:eastAsia="Arial" w:cs="Arial"/>
                <w:sz w:val="20"/>
                <w:szCs w:val="20"/>
              </w:rPr>
              <w:t>Hyderabad, Telangana</w:t>
            </w:r>
          </w:p>
        </w:tc>
        <w:tc>
          <w:tcPr>
            <w:tcW w:w="1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83C1D58">
            <w:r>
              <w:rPr>
                <w:rFonts w:ascii="Arial" w:hAnsi="Arial" w:eastAsia="Arial" w:cs="Arial"/>
                <w:sz w:val="20"/>
                <w:szCs w:val="20"/>
              </w:rPr>
              <w:t>Secondary Delivery</w:t>
            </w:r>
          </w:p>
        </w:tc>
      </w:tr>
    </w:tbl>
    <w:p w14:paraId="468BF8C0">
      <w:pPr>
        <w:pStyle w:val="3"/>
        <w:spacing w:before="280" w:after="120"/>
        <w:rPr>
          <w:rFonts w:hint="default" w:ascii="Arial" w:hAnsi="Arial" w:eastAsia="Arial" w:cs="Arial"/>
          <w:b/>
          <w:bCs/>
          <w:color w:val="2E75B6"/>
          <w:sz w:val="26"/>
          <w:szCs w:val="26"/>
          <w:lang w:val="en-US"/>
        </w:rPr>
      </w:pPr>
      <w:r>
        <w:rPr>
          <w:rFonts w:hint="default" w:ascii="Arial" w:hAnsi="Arial" w:eastAsia="Arial" w:cs="Arial"/>
          <w:b/>
          <w:bCs/>
          <w:color w:val="2E75B6"/>
          <w:sz w:val="26"/>
          <w:szCs w:val="26"/>
          <w:lang w:val="en-US"/>
        </w:rPr>
        <w:drawing>
          <wp:inline distT="0" distB="0" distL="114300" distR="114300">
            <wp:extent cx="6162040" cy="4800600"/>
            <wp:effectExtent l="0" t="0" r="10160" b="0"/>
            <wp:docPr id="3" name="Picture 3" descr="Screenshot 2026-04-20 23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0 232427"/>
                    <pic:cNvPicPr>
                      <a:picLocks noChangeAspect="1"/>
                    </pic:cNvPicPr>
                  </pic:nvPicPr>
                  <pic:blipFill>
                    <a:blip r:embed="rId8"/>
                    <a:stretch>
                      <a:fillRect/>
                    </a:stretch>
                  </pic:blipFill>
                  <pic:spPr>
                    <a:xfrm>
                      <a:off x="0" y="0"/>
                      <a:ext cx="6162040" cy="4800600"/>
                    </a:xfrm>
                    <a:prstGeom prst="rect">
                      <a:avLst/>
                    </a:prstGeom>
                  </pic:spPr>
                </pic:pic>
              </a:graphicData>
            </a:graphic>
          </wp:inline>
        </w:drawing>
      </w:r>
    </w:p>
    <w:p w14:paraId="50EF77FD">
      <w:pPr>
        <w:rPr>
          <w:rFonts w:hint="default" w:ascii="Arial" w:hAnsi="Arial" w:eastAsia="Arial" w:cs="Arial"/>
          <w:b/>
          <w:bCs/>
          <w:color w:val="2E75B6"/>
          <w:sz w:val="26"/>
          <w:szCs w:val="26"/>
          <w:lang w:val="en-US"/>
        </w:rPr>
      </w:pPr>
    </w:p>
    <w:p w14:paraId="55CA0344">
      <w:pPr>
        <w:pStyle w:val="15"/>
        <w:keepNext w:val="0"/>
        <w:keepLines w:val="0"/>
        <w:widowControl/>
        <w:suppressLineNumbers w:val="0"/>
        <w:ind w:left="720" w:right="720"/>
        <w:jc w:val="center"/>
        <w:rPr>
          <w:rFonts w:hint="default" w:ascii="Arial" w:hAnsi="Arial" w:cs="Arial"/>
          <w:sz w:val="22"/>
          <w:szCs w:val="22"/>
        </w:rPr>
      </w:pPr>
      <w:r>
        <w:rPr>
          <w:rFonts w:hint="default" w:ascii="Arial" w:hAnsi="Arial" w:eastAsia="SimSun" w:cs="Arial"/>
          <w:sz w:val="22"/>
          <w:szCs w:val="22"/>
        </w:rPr>
        <w:t xml:space="preserve">Figure 3: </w:t>
      </w:r>
      <w:r>
        <w:rPr>
          <w:rFonts w:hint="default" w:ascii="Arial" w:hAnsi="Arial" w:eastAsia="SimSun" w:cs="Arial"/>
          <w:sz w:val="22"/>
          <w:szCs w:val="22"/>
          <w:lang w:val="en-US"/>
        </w:rPr>
        <w:t xml:space="preserve">Sample </w:t>
      </w:r>
      <w:r>
        <w:rPr>
          <w:rFonts w:hint="default" w:ascii="Arial" w:hAnsi="Arial" w:eastAsia="SimSun" w:cs="Arial"/>
          <w:sz w:val="22"/>
          <w:szCs w:val="22"/>
        </w:rPr>
        <w:t>Plant configuration representing Nexora delivery centres.</w:t>
      </w:r>
    </w:p>
    <w:p w14:paraId="6591C21A">
      <w:pPr>
        <w:rPr>
          <w:rFonts w:hint="default" w:ascii="Arial" w:hAnsi="Arial" w:eastAsia="Arial" w:cs="Arial"/>
          <w:b/>
          <w:bCs/>
          <w:color w:val="2E75B6"/>
          <w:sz w:val="26"/>
          <w:szCs w:val="26"/>
          <w:lang w:val="en-US"/>
        </w:rPr>
      </w:pPr>
    </w:p>
    <w:p w14:paraId="11C5D4CC">
      <w:pPr>
        <w:pStyle w:val="3"/>
        <w:spacing w:before="280" w:after="120"/>
      </w:pPr>
      <w:r>
        <w:rPr>
          <w:rFonts w:ascii="Arial" w:hAnsi="Arial" w:eastAsia="Arial" w:cs="Arial"/>
          <w:b/>
          <w:bCs/>
          <w:color w:val="2E75B6"/>
          <w:sz w:val="26"/>
          <w:szCs w:val="26"/>
        </w:rPr>
        <w:t>4.3 Storage Locations</w:t>
      </w:r>
    </w:p>
    <w:p w14:paraId="63253134">
      <w:pPr>
        <w:spacing w:before="80" w:after="80"/>
      </w:pPr>
      <w:r>
        <w:rPr>
          <w:rFonts w:ascii="Arial" w:hAnsi="Arial" w:eastAsia="Arial" w:cs="Arial"/>
          <w:sz w:val="22"/>
          <w:szCs w:val="22"/>
        </w:rPr>
        <w:t>Storage Locations represent physical areas within a plant for managing IT assets and consumables inventory.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1200"/>
        <w:gridCol w:w="4360"/>
      </w:tblGrid>
      <w:tr w14:paraId="69B5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EE10570">
            <w:pPr>
              <w:jc w:val="left"/>
            </w:pPr>
            <w:r>
              <w:rPr>
                <w:rFonts w:ascii="Arial" w:hAnsi="Arial" w:eastAsia="Arial" w:cs="Arial"/>
                <w:b/>
                <w:bCs/>
                <w:color w:val="FFFFFF"/>
                <w:sz w:val="20"/>
                <w:szCs w:val="20"/>
              </w:rPr>
              <w:t>Plant</w:t>
            </w:r>
          </w:p>
        </w:tc>
        <w:tc>
          <w:tcPr>
            <w:tcW w:w="2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BCA4ED4">
            <w:pPr>
              <w:jc w:val="left"/>
            </w:pPr>
            <w:r>
              <w:rPr>
                <w:rFonts w:ascii="Arial" w:hAnsi="Arial" w:eastAsia="Arial" w:cs="Arial"/>
                <w:b/>
                <w:bCs/>
                <w:color w:val="FFFFFF"/>
                <w:sz w:val="20"/>
                <w:szCs w:val="20"/>
              </w:rPr>
              <w:t>Storage Location</w:t>
            </w:r>
          </w:p>
        </w:tc>
        <w:tc>
          <w:tcPr>
            <w:tcW w:w="1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4115164">
            <w:pPr>
              <w:jc w:val="left"/>
            </w:pPr>
            <w:r>
              <w:rPr>
                <w:rFonts w:ascii="Arial" w:hAnsi="Arial" w:eastAsia="Arial" w:cs="Arial"/>
                <w:b/>
                <w:bCs/>
                <w:color w:val="FFFFFF"/>
                <w:sz w:val="20"/>
                <w:szCs w:val="20"/>
              </w:rPr>
              <w:t>Code</w:t>
            </w:r>
          </w:p>
        </w:tc>
        <w:tc>
          <w:tcPr>
            <w:tcW w:w="4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BF199B9">
            <w:pPr>
              <w:jc w:val="left"/>
            </w:pPr>
            <w:r>
              <w:rPr>
                <w:rFonts w:ascii="Arial" w:hAnsi="Arial" w:eastAsia="Arial" w:cs="Arial"/>
                <w:b/>
                <w:bCs/>
                <w:color w:val="FFFFFF"/>
                <w:sz w:val="20"/>
                <w:szCs w:val="20"/>
              </w:rPr>
              <w:t>Description</w:t>
            </w:r>
          </w:p>
        </w:tc>
      </w:tr>
      <w:tr w14:paraId="0298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D2B7CB">
            <w:r>
              <w:rPr>
                <w:rFonts w:ascii="Arial" w:hAnsi="Arial" w:eastAsia="Arial" w:cs="Arial"/>
                <w:sz w:val="20"/>
                <w:szCs w:val="20"/>
              </w:rPr>
              <w:t>NX01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F631CE">
            <w:r>
              <w:rPr>
                <w:rFonts w:ascii="Arial" w:hAnsi="Arial" w:eastAsia="Arial" w:cs="Arial"/>
                <w:sz w:val="20"/>
                <w:szCs w:val="20"/>
              </w:rPr>
              <w:t>IT Asset Store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789E10">
            <w:r>
              <w:rPr>
                <w:rFonts w:ascii="Arial" w:hAnsi="Arial" w:eastAsia="Arial" w:cs="Arial"/>
                <w:sz w:val="20"/>
                <w:szCs w:val="20"/>
              </w:rPr>
              <w:t>AS01</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CABFD3">
            <w:r>
              <w:rPr>
                <w:rFonts w:ascii="Arial" w:hAnsi="Arial" w:eastAsia="Arial" w:cs="Arial"/>
                <w:sz w:val="20"/>
                <w:szCs w:val="20"/>
              </w:rPr>
              <w:t>Laptops, desktops, peripherals — Bengaluru</w:t>
            </w:r>
          </w:p>
        </w:tc>
      </w:tr>
      <w:tr w14:paraId="708F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5B38197">
            <w:r>
              <w:rPr>
                <w:rFonts w:ascii="Arial" w:hAnsi="Arial" w:eastAsia="Arial" w:cs="Arial"/>
                <w:sz w:val="20"/>
                <w:szCs w:val="20"/>
              </w:rPr>
              <w:t>NX01</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15F9273">
            <w:r>
              <w:rPr>
                <w:rFonts w:ascii="Arial" w:hAnsi="Arial" w:eastAsia="Arial" w:cs="Arial"/>
                <w:sz w:val="20"/>
                <w:szCs w:val="20"/>
              </w:rPr>
              <w:t>Server Room</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449184F">
            <w:r>
              <w:rPr>
                <w:rFonts w:ascii="Arial" w:hAnsi="Arial" w:eastAsia="Arial" w:cs="Arial"/>
                <w:sz w:val="20"/>
                <w:szCs w:val="20"/>
              </w:rPr>
              <w:t>SR01</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44761E5">
            <w:r>
              <w:rPr>
                <w:rFonts w:ascii="Arial" w:hAnsi="Arial" w:eastAsia="Arial" w:cs="Arial"/>
                <w:sz w:val="20"/>
                <w:szCs w:val="20"/>
              </w:rPr>
              <w:t>Servers, networking equipment — Bengaluru</w:t>
            </w:r>
          </w:p>
        </w:tc>
      </w:tr>
      <w:tr w14:paraId="066D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1CD69C">
            <w:r>
              <w:rPr>
                <w:rFonts w:ascii="Arial" w:hAnsi="Arial" w:eastAsia="Arial" w:cs="Arial"/>
                <w:sz w:val="20"/>
                <w:szCs w:val="20"/>
              </w:rPr>
              <w:t>NX01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429656">
            <w:r>
              <w:rPr>
                <w:rFonts w:ascii="Arial" w:hAnsi="Arial" w:eastAsia="Arial" w:cs="Arial"/>
                <w:sz w:val="20"/>
                <w:szCs w:val="20"/>
              </w:rPr>
              <w:t>Consumables Store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CE8424">
            <w:r>
              <w:rPr>
                <w:rFonts w:ascii="Arial" w:hAnsi="Arial" w:eastAsia="Arial" w:cs="Arial"/>
                <w:sz w:val="20"/>
                <w:szCs w:val="20"/>
              </w:rPr>
              <w:t>CS01</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B0E94E">
            <w:r>
              <w:rPr>
                <w:rFonts w:ascii="Arial" w:hAnsi="Arial" w:eastAsia="Arial" w:cs="Arial"/>
                <w:sz w:val="20"/>
                <w:szCs w:val="20"/>
              </w:rPr>
              <w:t>Stationery, cables, accessories</w:t>
            </w:r>
          </w:p>
        </w:tc>
      </w:tr>
      <w:tr w14:paraId="716B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BF49A01">
            <w:r>
              <w:rPr>
                <w:rFonts w:ascii="Arial" w:hAnsi="Arial" w:eastAsia="Arial" w:cs="Arial"/>
                <w:sz w:val="20"/>
                <w:szCs w:val="20"/>
              </w:rPr>
              <w:t>NX02</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328E2A3">
            <w:r>
              <w:rPr>
                <w:rFonts w:ascii="Arial" w:hAnsi="Arial" w:eastAsia="Arial" w:cs="Arial"/>
                <w:sz w:val="20"/>
                <w:szCs w:val="20"/>
              </w:rPr>
              <w:t>IT Asset Store</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6C2CA27">
            <w:r>
              <w:rPr>
                <w:rFonts w:ascii="Arial" w:hAnsi="Arial" w:eastAsia="Arial" w:cs="Arial"/>
                <w:sz w:val="20"/>
                <w:szCs w:val="20"/>
              </w:rPr>
              <w:t>AS02</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81AA7F7">
            <w:r>
              <w:rPr>
                <w:rFonts w:ascii="Arial" w:hAnsi="Arial" w:eastAsia="Arial" w:cs="Arial"/>
                <w:sz w:val="20"/>
                <w:szCs w:val="20"/>
              </w:rPr>
              <w:t>Laptops, desktops, peripherals — Hyderabad</w:t>
            </w:r>
          </w:p>
        </w:tc>
      </w:tr>
      <w:tr w14:paraId="46D0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CB9F25">
            <w:r>
              <w:rPr>
                <w:rFonts w:ascii="Arial" w:hAnsi="Arial" w:eastAsia="Arial" w:cs="Arial"/>
                <w:sz w:val="20"/>
                <w:szCs w:val="20"/>
              </w:rPr>
              <w:t>NX02</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1EE58E">
            <w:r>
              <w:rPr>
                <w:rFonts w:ascii="Arial" w:hAnsi="Arial" w:eastAsia="Arial" w:cs="Arial"/>
                <w:sz w:val="20"/>
                <w:szCs w:val="20"/>
              </w:rPr>
              <w:t>Server Room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688025">
            <w:r>
              <w:rPr>
                <w:rFonts w:ascii="Arial" w:hAnsi="Arial" w:eastAsia="Arial" w:cs="Arial"/>
                <w:sz w:val="20"/>
                <w:szCs w:val="20"/>
              </w:rPr>
              <w:t>SR02</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69E1DC">
            <w:r>
              <w:rPr>
                <w:rFonts w:ascii="Arial" w:hAnsi="Arial" w:eastAsia="Arial" w:cs="Arial"/>
                <w:sz w:val="20"/>
                <w:szCs w:val="20"/>
              </w:rPr>
              <w:t>Servers, networking equipment — Hyderabad</w:t>
            </w:r>
          </w:p>
        </w:tc>
      </w:tr>
    </w:tbl>
    <w:p w14:paraId="33E7CA4D">
      <w:pPr>
        <w:pStyle w:val="3"/>
        <w:spacing w:before="280" w:after="120"/>
      </w:pPr>
      <w:r>
        <w:rPr>
          <w:rFonts w:ascii="Arial" w:hAnsi="Arial" w:eastAsia="Arial" w:cs="Arial"/>
          <w:b/>
          <w:bCs/>
          <w:color w:val="2E75B6"/>
          <w:sz w:val="26"/>
          <w:szCs w:val="26"/>
        </w:rPr>
        <w:t>4.4 Purchase Organization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74B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14F0886">
            <w:pPr>
              <w:jc w:val="left"/>
            </w:pPr>
            <w:r>
              <w:rPr>
                <w:rFonts w:ascii="Arial" w:hAnsi="Arial" w:eastAsia="Arial" w:cs="Arial"/>
                <w:b/>
                <w:bCs/>
                <w:color w:val="FFFFFF"/>
                <w:sz w:val="20"/>
                <w:szCs w:val="20"/>
              </w:rPr>
              <w:t>Parameter</w:t>
            </w:r>
          </w:p>
        </w:tc>
        <w:tc>
          <w:tcPr>
            <w:tcW w:w="61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51D3DC1">
            <w:pPr>
              <w:jc w:val="left"/>
            </w:pPr>
            <w:r>
              <w:rPr>
                <w:rFonts w:ascii="Arial" w:hAnsi="Arial" w:eastAsia="Arial" w:cs="Arial"/>
                <w:b/>
                <w:bCs/>
                <w:color w:val="FFFFFF"/>
                <w:sz w:val="20"/>
                <w:szCs w:val="20"/>
              </w:rPr>
              <w:t>Value</w:t>
            </w:r>
          </w:p>
        </w:tc>
      </w:tr>
      <w:tr w14:paraId="3A74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144BF5">
            <w:r>
              <w:rPr>
                <w:rFonts w:ascii="Arial" w:hAnsi="Arial" w:eastAsia="Arial" w:cs="Arial"/>
                <w:sz w:val="20"/>
                <w:szCs w:val="20"/>
              </w:rPr>
              <w:t>Purchase Org Code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ADA84D">
            <w:r>
              <w:rPr>
                <w:rFonts w:ascii="Arial" w:hAnsi="Arial" w:eastAsia="Arial" w:cs="Arial"/>
                <w:sz w:val="20"/>
                <w:szCs w:val="20"/>
              </w:rPr>
              <w:t>NX_PO</w:t>
            </w:r>
          </w:p>
        </w:tc>
      </w:tr>
      <w:tr w14:paraId="305A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17689D2">
            <w:r>
              <w:rPr>
                <w:rFonts w:ascii="Arial" w:hAnsi="Arial" w:eastAsia="Arial" w:cs="Arial"/>
                <w:sz w:val="20"/>
                <w:szCs w:val="20"/>
              </w:rPr>
              <w:t>Purchase Org Name</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EDD821E">
            <w:r>
              <w:rPr>
                <w:rFonts w:ascii="Arial" w:hAnsi="Arial" w:eastAsia="Arial" w:cs="Arial"/>
                <w:sz w:val="20"/>
                <w:szCs w:val="20"/>
              </w:rPr>
              <w:t>Nexora Central Procurement</w:t>
            </w:r>
          </w:p>
        </w:tc>
      </w:tr>
      <w:tr w14:paraId="3F74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373869">
            <w:r>
              <w:rPr>
                <w:rFonts w:ascii="Arial" w:hAnsi="Arial" w:eastAsia="Arial" w:cs="Arial"/>
                <w:sz w:val="20"/>
                <w:szCs w:val="20"/>
              </w:rPr>
              <w:t>Assignment</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7F8BB4">
            <w:r>
              <w:rPr>
                <w:rFonts w:ascii="Arial" w:hAnsi="Arial" w:eastAsia="Arial" w:cs="Arial"/>
                <w:sz w:val="20"/>
                <w:szCs w:val="20"/>
              </w:rPr>
              <w:t>Cross-Plant (NX01 and NX02)</w:t>
            </w:r>
          </w:p>
        </w:tc>
      </w:tr>
      <w:tr w14:paraId="50CB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6C3D670">
            <w:r>
              <w:rPr>
                <w:rFonts w:ascii="Arial" w:hAnsi="Arial" w:eastAsia="Arial" w:cs="Arial"/>
                <w:sz w:val="20"/>
                <w:szCs w:val="20"/>
              </w:rPr>
              <w:t>Currency</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660F372">
            <w:r>
              <w:rPr>
                <w:rFonts w:ascii="Arial" w:hAnsi="Arial" w:eastAsia="Arial" w:cs="Arial"/>
                <w:sz w:val="20"/>
                <w:szCs w:val="20"/>
              </w:rPr>
              <w:t>INR</w:t>
            </w:r>
          </w:p>
        </w:tc>
      </w:tr>
    </w:tbl>
    <w:p w14:paraId="61DE5DCD">
      <w:pPr>
        <w:pStyle w:val="3"/>
        <w:spacing w:before="280" w:after="120"/>
      </w:pPr>
      <w:r>
        <w:rPr>
          <w:rFonts w:ascii="Arial" w:hAnsi="Arial" w:eastAsia="Arial" w:cs="Arial"/>
          <w:b/>
          <w:bCs/>
          <w:color w:val="2E75B6"/>
          <w:sz w:val="26"/>
          <w:szCs w:val="26"/>
        </w:rPr>
        <w:t>4.5 Purchase 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5560"/>
      </w:tblGrid>
      <w:tr w14:paraId="3A81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6AD985B">
            <w:pPr>
              <w:jc w:val="left"/>
            </w:pPr>
            <w:r>
              <w:rPr>
                <w:rFonts w:ascii="Arial" w:hAnsi="Arial" w:eastAsia="Arial" w:cs="Arial"/>
                <w:b/>
                <w:bCs/>
                <w:color w:val="FFFFFF"/>
                <w:sz w:val="20"/>
                <w:szCs w:val="20"/>
              </w:rPr>
              <w:t>Purchase Group</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F3DB93D">
            <w:pPr>
              <w:jc w:val="left"/>
            </w:pPr>
            <w:r>
              <w:rPr>
                <w:rFonts w:ascii="Arial" w:hAnsi="Arial" w:eastAsia="Arial" w:cs="Arial"/>
                <w:b/>
                <w:bCs/>
                <w:color w:val="FFFFFF"/>
                <w:sz w:val="20"/>
                <w:szCs w:val="20"/>
              </w:rPr>
              <w:t>Code</w:t>
            </w:r>
          </w:p>
        </w:tc>
        <w:tc>
          <w:tcPr>
            <w:tcW w:w="55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4537D03">
            <w:pPr>
              <w:jc w:val="left"/>
            </w:pPr>
            <w:r>
              <w:rPr>
                <w:rFonts w:ascii="Arial" w:hAnsi="Arial" w:eastAsia="Arial" w:cs="Arial"/>
                <w:b/>
                <w:bCs/>
                <w:color w:val="FFFFFF"/>
                <w:sz w:val="20"/>
                <w:szCs w:val="20"/>
              </w:rPr>
              <w:t>Responsible For</w:t>
            </w:r>
          </w:p>
        </w:tc>
      </w:tr>
      <w:tr w14:paraId="6B22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DEBD73">
            <w:r>
              <w:rPr>
                <w:rFonts w:ascii="Arial" w:hAnsi="Arial" w:eastAsia="Arial" w:cs="Arial"/>
                <w:sz w:val="20"/>
                <w:szCs w:val="20"/>
              </w:rPr>
              <w:t>IT Hardware Group</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726C42">
            <w:r>
              <w:rPr>
                <w:rFonts w:ascii="Arial" w:hAnsi="Arial" w:eastAsia="Arial" w:cs="Arial"/>
                <w:sz w:val="20"/>
                <w:szCs w:val="20"/>
              </w:rPr>
              <w:t>PG01</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1CF89C">
            <w:r>
              <w:rPr>
                <w:rFonts w:ascii="Arial" w:hAnsi="Arial" w:eastAsia="Arial" w:cs="Arial"/>
                <w:sz w:val="20"/>
                <w:szCs w:val="20"/>
              </w:rPr>
              <w:t>Laptops, servers, networking devices, peripherals</w:t>
            </w:r>
          </w:p>
        </w:tc>
      </w:tr>
      <w:tr w14:paraId="43A0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504E409">
            <w:r>
              <w:rPr>
                <w:rFonts w:ascii="Arial" w:hAnsi="Arial" w:eastAsia="Arial" w:cs="Arial"/>
                <w:sz w:val="20"/>
                <w:szCs w:val="20"/>
              </w:rPr>
              <w:t>Software &amp; Licensing</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CFC6085">
            <w:r>
              <w:rPr>
                <w:rFonts w:ascii="Arial" w:hAnsi="Arial" w:eastAsia="Arial" w:cs="Arial"/>
                <w:sz w:val="20"/>
                <w:szCs w:val="20"/>
              </w:rPr>
              <w:t>PG02</w:t>
            </w:r>
          </w:p>
        </w:tc>
        <w:tc>
          <w:tcPr>
            <w:tcW w:w="5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3F485D5">
            <w:r>
              <w:rPr>
                <w:rFonts w:ascii="Arial" w:hAnsi="Arial" w:eastAsia="Arial" w:cs="Arial"/>
                <w:sz w:val="20"/>
                <w:szCs w:val="20"/>
              </w:rPr>
              <w:t>ERP licenses, SaaS subscriptions, OS &amp; productivity</w:t>
            </w:r>
          </w:p>
        </w:tc>
      </w:tr>
      <w:tr w14:paraId="183A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B4A05C">
            <w:r>
              <w:rPr>
                <w:rFonts w:ascii="Arial" w:hAnsi="Arial" w:eastAsia="Arial" w:cs="Arial"/>
                <w:sz w:val="20"/>
                <w:szCs w:val="20"/>
              </w:rPr>
              <w:t>Services Group</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99485C">
            <w:r>
              <w:rPr>
                <w:rFonts w:ascii="Arial" w:hAnsi="Arial" w:eastAsia="Arial" w:cs="Arial"/>
                <w:sz w:val="20"/>
                <w:szCs w:val="20"/>
              </w:rPr>
              <w:t>PG03</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170124">
            <w:r>
              <w:rPr>
                <w:rFonts w:ascii="Arial" w:hAnsi="Arial" w:eastAsia="Arial" w:cs="Arial"/>
                <w:sz w:val="20"/>
                <w:szCs w:val="20"/>
              </w:rPr>
              <w:t>Subcontracting, AMC, cloud managed services</w:t>
            </w:r>
          </w:p>
        </w:tc>
      </w:tr>
    </w:tbl>
    <w:p w14:paraId="3FA6793E">
      <w:pPr>
        <w:pStyle w:val="3"/>
        <w:spacing w:before="280" w:after="120"/>
      </w:pPr>
      <w:r>
        <w:rPr>
          <w:rFonts w:ascii="Arial" w:hAnsi="Arial" w:eastAsia="Arial" w:cs="Arial"/>
          <w:b/>
          <w:bCs/>
          <w:color w:val="2E75B6"/>
          <w:sz w:val="26"/>
          <w:szCs w:val="26"/>
        </w:rPr>
        <w:t>4.6 Material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5360"/>
      </w:tblGrid>
      <w:tr w14:paraId="26A4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D3E877F">
            <w:pPr>
              <w:jc w:val="left"/>
            </w:pPr>
            <w:r>
              <w:rPr>
                <w:rFonts w:ascii="Arial" w:hAnsi="Arial" w:eastAsia="Arial" w:cs="Arial"/>
                <w:b/>
                <w:bCs/>
                <w:color w:val="FFFFFF"/>
                <w:sz w:val="20"/>
                <w:szCs w:val="20"/>
              </w:rPr>
              <w:t>Material Type</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086F6A1">
            <w:pPr>
              <w:jc w:val="left"/>
            </w:pPr>
            <w:r>
              <w:rPr>
                <w:rFonts w:ascii="Arial" w:hAnsi="Arial" w:eastAsia="Arial" w:cs="Arial"/>
                <w:b/>
                <w:bCs/>
                <w:color w:val="FFFFFF"/>
                <w:sz w:val="20"/>
                <w:szCs w:val="20"/>
              </w:rPr>
              <w:t>Code</w:t>
            </w:r>
          </w:p>
        </w:tc>
        <w:tc>
          <w:tcPr>
            <w:tcW w:w="5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773F29F">
            <w:pPr>
              <w:jc w:val="left"/>
            </w:pPr>
            <w:r>
              <w:rPr>
                <w:rFonts w:ascii="Arial" w:hAnsi="Arial" w:eastAsia="Arial" w:cs="Arial"/>
                <w:b/>
                <w:bCs/>
                <w:color w:val="FFFFFF"/>
                <w:sz w:val="20"/>
                <w:szCs w:val="20"/>
              </w:rPr>
              <w:t>Description</w:t>
            </w:r>
          </w:p>
        </w:tc>
      </w:tr>
      <w:tr w14:paraId="63F5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185004">
            <w:r>
              <w:rPr>
                <w:rFonts w:ascii="Arial" w:hAnsi="Arial" w:eastAsia="Arial" w:cs="Arial"/>
                <w:sz w:val="20"/>
                <w:szCs w:val="20"/>
              </w:rPr>
              <w:t>IT Hardware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07E0F5">
            <w:r>
              <w:rPr>
                <w:rFonts w:ascii="Arial" w:hAnsi="Arial" w:eastAsia="Arial" w:cs="Arial"/>
                <w:sz w:val="20"/>
                <w:szCs w:val="20"/>
              </w:rPr>
              <w:t>ZITW</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CBAC2B">
            <w:r>
              <w:rPr>
                <w:rFonts w:ascii="Arial" w:hAnsi="Arial" w:eastAsia="Arial" w:cs="Arial"/>
                <w:sz w:val="20"/>
                <w:szCs w:val="20"/>
              </w:rPr>
              <w:t>Laptops, servers, networking gear — stock-managed</w:t>
            </w:r>
          </w:p>
        </w:tc>
      </w:tr>
      <w:tr w14:paraId="4051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1F6DA4A">
            <w:r>
              <w:rPr>
                <w:rFonts w:ascii="Arial" w:hAnsi="Arial" w:eastAsia="Arial" w:cs="Arial"/>
                <w:sz w:val="20"/>
                <w:szCs w:val="20"/>
              </w:rPr>
              <w:t>Software License</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647A582">
            <w:r>
              <w:rPr>
                <w:rFonts w:ascii="Arial" w:hAnsi="Arial" w:eastAsia="Arial" w:cs="Arial"/>
                <w:sz w:val="20"/>
                <w:szCs w:val="20"/>
              </w:rPr>
              <w:t>ZSWL</w:t>
            </w:r>
          </w:p>
        </w:tc>
        <w:tc>
          <w:tcPr>
            <w:tcW w:w="5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9BED147">
            <w:r>
              <w:rPr>
                <w:rFonts w:ascii="Arial" w:hAnsi="Arial" w:eastAsia="Arial" w:cs="Arial"/>
                <w:sz w:val="20"/>
                <w:szCs w:val="20"/>
              </w:rPr>
              <w:t>Perpetual and subscription software licenses</w:t>
            </w:r>
          </w:p>
        </w:tc>
      </w:tr>
      <w:tr w14:paraId="2230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ED6F021">
            <w:r>
              <w:rPr>
                <w:rFonts w:ascii="Arial" w:hAnsi="Arial" w:eastAsia="Arial" w:cs="Arial"/>
                <w:sz w:val="20"/>
                <w:szCs w:val="20"/>
              </w:rPr>
              <w:t>IT Consumables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147321">
            <w:r>
              <w:rPr>
                <w:rFonts w:ascii="Arial" w:hAnsi="Arial" w:eastAsia="Arial" w:cs="Arial"/>
                <w:sz w:val="20"/>
                <w:szCs w:val="20"/>
              </w:rPr>
              <w:t>CONS</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E793F2">
            <w:r>
              <w:rPr>
                <w:rFonts w:ascii="Arial" w:hAnsi="Arial" w:eastAsia="Arial" w:cs="Arial"/>
                <w:sz w:val="20"/>
                <w:szCs w:val="20"/>
              </w:rPr>
              <w:t>Cables, accessories — low-value, non-capitalised</w:t>
            </w:r>
          </w:p>
        </w:tc>
      </w:tr>
      <w:tr w14:paraId="3F41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EC1849D">
            <w:r>
              <w:rPr>
                <w:rFonts w:ascii="Arial" w:hAnsi="Arial" w:eastAsia="Arial" w:cs="Arial"/>
                <w:sz w:val="20"/>
                <w:szCs w:val="20"/>
              </w:rPr>
              <w:t>Services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D72ED70">
            <w:r>
              <w:rPr>
                <w:rFonts w:ascii="Arial" w:hAnsi="Arial" w:eastAsia="Arial" w:cs="Arial"/>
                <w:sz w:val="20"/>
                <w:szCs w:val="20"/>
              </w:rPr>
              <w:t>DIEN</w:t>
            </w:r>
          </w:p>
        </w:tc>
        <w:tc>
          <w:tcPr>
            <w:tcW w:w="5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FE0DDB9">
            <w:r>
              <w:rPr>
                <w:rFonts w:ascii="Arial" w:hAnsi="Arial" w:eastAsia="Arial" w:cs="Arial"/>
                <w:sz w:val="20"/>
                <w:szCs w:val="20"/>
              </w:rPr>
              <w:t>Maintenance, consulting, cloud services (non-stock)</w:t>
            </w:r>
          </w:p>
        </w:tc>
      </w:tr>
      <w:tr w14:paraId="7E76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74AA9D">
            <w:r>
              <w:rPr>
                <w:rFonts w:ascii="Arial" w:hAnsi="Arial" w:eastAsia="Arial" w:cs="Arial"/>
                <w:sz w:val="20"/>
                <w:szCs w:val="20"/>
              </w:rPr>
              <w:t>Capital Equipment</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897781">
            <w:r>
              <w:rPr>
                <w:rFonts w:ascii="Arial" w:hAnsi="Arial" w:eastAsia="Arial" w:cs="Arial"/>
                <w:sz w:val="20"/>
                <w:szCs w:val="20"/>
              </w:rPr>
              <w:t>EQUI</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06F8A6">
            <w:r>
              <w:rPr>
                <w:rFonts w:ascii="Arial" w:hAnsi="Arial" w:eastAsia="Arial" w:cs="Arial"/>
                <w:sz w:val="20"/>
                <w:szCs w:val="20"/>
              </w:rPr>
              <w:t>High-value server/storage assets — capitalised</w:t>
            </w:r>
          </w:p>
        </w:tc>
      </w:tr>
    </w:tbl>
    <w:p w14:paraId="14D78D39">
      <w:pPr>
        <w:pStyle w:val="3"/>
        <w:spacing w:before="280" w:after="120"/>
      </w:pPr>
      <w:r>
        <w:rPr>
          <w:rFonts w:ascii="Arial" w:hAnsi="Arial" w:eastAsia="Arial" w:cs="Arial"/>
          <w:b/>
          <w:bCs/>
          <w:color w:val="2E75B6"/>
          <w:sz w:val="26"/>
          <w:szCs w:val="26"/>
        </w:rPr>
        <w:t>4.7 Key MM Customization Steps</w:t>
      </w:r>
    </w:p>
    <w:p w14:paraId="299CFA45">
      <w:pPr>
        <w:spacing w:before="160" w:after="60"/>
      </w:pPr>
      <w:r>
        <w:rPr>
          <w:rFonts w:ascii="Arial" w:hAnsi="Arial" w:eastAsia="Arial" w:cs="Arial"/>
          <w:b/>
          <w:bCs/>
          <w:color w:val="2E75B6"/>
          <w:sz w:val="22"/>
          <w:szCs w:val="22"/>
        </w:rPr>
        <w:t>Step 1: Define Plant</w:t>
      </w:r>
    </w:p>
    <w:p w14:paraId="16015879">
      <w:pPr>
        <w:pStyle w:val="17"/>
        <w:numPr>
          <w:ilvl w:val="0"/>
          <w:numId w:val="1"/>
        </w:numPr>
        <w:spacing w:before="40" w:after="40"/>
      </w:pPr>
      <w:r>
        <w:rPr>
          <w:rFonts w:ascii="Arial" w:hAnsi="Arial" w:eastAsia="Arial" w:cs="Arial"/>
          <w:sz w:val="20"/>
          <w:szCs w:val="20"/>
        </w:rPr>
        <w:t>Path: SPRO → Enterprise Structure → Definition → Logistics General → Define, Copy, Delete, Check Plant</w:t>
      </w:r>
    </w:p>
    <w:p w14:paraId="1981A5B0">
      <w:pPr>
        <w:pStyle w:val="17"/>
        <w:numPr>
          <w:ilvl w:val="0"/>
          <w:numId w:val="1"/>
        </w:numPr>
        <w:spacing w:before="40" w:after="40"/>
      </w:pPr>
      <w:r>
        <w:rPr>
          <w:rFonts w:ascii="Arial" w:hAnsi="Arial" w:eastAsia="Arial" w:cs="Arial"/>
          <w:sz w:val="20"/>
          <w:szCs w:val="20"/>
        </w:rPr>
        <w:t>Plant NX01 — Bengaluru | Plant NX02 — Hyderabad | T-Code: OX10</w:t>
      </w:r>
    </w:p>
    <w:p w14:paraId="3349F288">
      <w:pPr>
        <w:spacing w:before="160" w:after="60"/>
      </w:pPr>
      <w:r>
        <w:rPr>
          <w:rFonts w:ascii="Arial" w:hAnsi="Arial" w:eastAsia="Arial" w:cs="Arial"/>
          <w:b/>
          <w:bCs/>
          <w:color w:val="2E75B6"/>
          <w:sz w:val="22"/>
          <w:szCs w:val="22"/>
        </w:rPr>
        <w:t>Step 2: Assign Plant to Company Code</w:t>
      </w:r>
    </w:p>
    <w:p w14:paraId="456B6DB7">
      <w:pPr>
        <w:pStyle w:val="17"/>
        <w:numPr>
          <w:ilvl w:val="0"/>
          <w:numId w:val="1"/>
        </w:numPr>
        <w:spacing w:before="40" w:after="40"/>
      </w:pPr>
      <w:r>
        <w:rPr>
          <w:rFonts w:ascii="Arial" w:hAnsi="Arial" w:eastAsia="Arial" w:cs="Arial"/>
          <w:sz w:val="20"/>
          <w:szCs w:val="20"/>
        </w:rPr>
        <w:t>Path: SPRO → Enterprise Structure → Assignment → Logistics General → Assign Plant to Company Code</w:t>
      </w:r>
    </w:p>
    <w:p w14:paraId="79592DDC">
      <w:pPr>
        <w:pStyle w:val="17"/>
        <w:numPr>
          <w:ilvl w:val="0"/>
          <w:numId w:val="1"/>
        </w:numPr>
        <w:spacing w:before="40" w:after="40"/>
      </w:pPr>
      <w:r>
        <w:rPr>
          <w:rFonts w:ascii="Arial" w:hAnsi="Arial" w:eastAsia="Arial" w:cs="Arial"/>
          <w:sz w:val="20"/>
          <w:szCs w:val="20"/>
        </w:rPr>
        <w:t>NX01 &amp; NX02 → NXPL | T-Code: OX18</w:t>
      </w:r>
    </w:p>
    <w:p w14:paraId="533F1417">
      <w:pPr>
        <w:spacing w:before="160" w:after="60"/>
      </w:pPr>
      <w:r>
        <w:rPr>
          <w:rFonts w:ascii="Arial" w:hAnsi="Arial" w:eastAsia="Arial" w:cs="Arial"/>
          <w:b/>
          <w:bCs/>
          <w:color w:val="2E75B6"/>
          <w:sz w:val="22"/>
          <w:szCs w:val="22"/>
        </w:rPr>
        <w:t>Step 3: Define Storage Locations</w:t>
      </w:r>
    </w:p>
    <w:p w14:paraId="7B10CEA7">
      <w:pPr>
        <w:pStyle w:val="17"/>
        <w:numPr>
          <w:ilvl w:val="0"/>
          <w:numId w:val="1"/>
        </w:numPr>
        <w:spacing w:before="40" w:after="40"/>
      </w:pPr>
      <w:r>
        <w:rPr>
          <w:rFonts w:ascii="Arial" w:hAnsi="Arial" w:eastAsia="Arial" w:cs="Arial"/>
          <w:sz w:val="20"/>
          <w:szCs w:val="20"/>
        </w:rPr>
        <w:t>Path: SPRO → Enterprise Structure → Definition → Materials Management → Maintain Storage Location</w:t>
      </w:r>
    </w:p>
    <w:p w14:paraId="5DDF2D03">
      <w:pPr>
        <w:pStyle w:val="17"/>
        <w:numPr>
          <w:ilvl w:val="0"/>
          <w:numId w:val="1"/>
        </w:numPr>
        <w:spacing w:before="40" w:after="40"/>
      </w:pPr>
      <w:r>
        <w:rPr>
          <w:rFonts w:ascii="Arial" w:hAnsi="Arial" w:eastAsia="Arial" w:cs="Arial"/>
          <w:sz w:val="20"/>
          <w:szCs w:val="20"/>
        </w:rPr>
        <w:t>AS01, SR01, CS01 for NX01 | AS02, SR02 for NX02 | T-Code: OX09</w:t>
      </w:r>
    </w:p>
    <w:p w14:paraId="1FF201B8">
      <w:pPr>
        <w:spacing w:before="160" w:after="60"/>
      </w:pPr>
      <w:r>
        <w:rPr>
          <w:rFonts w:ascii="Arial" w:hAnsi="Arial" w:eastAsia="Arial" w:cs="Arial"/>
          <w:b/>
          <w:bCs/>
          <w:color w:val="2E75B6"/>
          <w:sz w:val="22"/>
          <w:szCs w:val="22"/>
        </w:rPr>
        <w:t>Step 4: Define Purchase Organization &amp; Groups</w:t>
      </w:r>
    </w:p>
    <w:p w14:paraId="591BD806">
      <w:pPr>
        <w:pStyle w:val="17"/>
        <w:numPr>
          <w:ilvl w:val="0"/>
          <w:numId w:val="1"/>
        </w:numPr>
        <w:spacing w:before="40" w:after="40"/>
      </w:pPr>
      <w:r>
        <w:rPr>
          <w:rFonts w:ascii="Arial" w:hAnsi="Arial" w:eastAsia="Arial" w:cs="Arial"/>
          <w:sz w:val="20"/>
          <w:szCs w:val="20"/>
        </w:rPr>
        <w:t>Path: SPRO → Enterprise Structure → Definition → MM → Maintain Purchase Organization</w:t>
      </w:r>
    </w:p>
    <w:p w14:paraId="32C46B0D">
      <w:pPr>
        <w:pStyle w:val="17"/>
        <w:numPr>
          <w:ilvl w:val="0"/>
          <w:numId w:val="1"/>
        </w:numPr>
        <w:spacing w:before="40" w:after="40"/>
      </w:pPr>
      <w:r>
        <w:rPr>
          <w:rFonts w:ascii="Arial" w:hAnsi="Arial" w:eastAsia="Arial" w:cs="Arial"/>
          <w:sz w:val="20"/>
          <w:szCs w:val="20"/>
        </w:rPr>
        <w:t>Code: NX_PO | T-Code: OX08</w:t>
      </w:r>
    </w:p>
    <w:p w14:paraId="3017167C">
      <w:pPr>
        <w:pStyle w:val="17"/>
        <w:numPr>
          <w:ilvl w:val="0"/>
          <w:numId w:val="1"/>
        </w:numPr>
        <w:spacing w:before="40" w:after="40"/>
      </w:pPr>
      <w:r>
        <w:rPr>
          <w:rFonts w:ascii="Arial" w:hAnsi="Arial" w:eastAsia="Arial" w:cs="Arial"/>
          <w:sz w:val="20"/>
          <w:szCs w:val="20"/>
        </w:rPr>
        <w:t>Purchase Groups PG01–PG03 defined via T-Code OME4</w:t>
      </w:r>
    </w:p>
    <w:p w14:paraId="495C40E2">
      <w:pPr>
        <w:spacing w:before="160" w:after="60"/>
      </w:pPr>
      <w:r>
        <w:rPr>
          <w:rFonts w:ascii="Arial" w:hAnsi="Arial" w:eastAsia="Arial" w:cs="Arial"/>
          <w:b/>
          <w:bCs/>
          <w:color w:val="2E75B6"/>
          <w:sz w:val="22"/>
          <w:szCs w:val="22"/>
        </w:rPr>
        <w:t>Step 5: Assign Purchase Org to Company Code &amp; Plant</w:t>
      </w:r>
    </w:p>
    <w:p w14:paraId="1AAD2007">
      <w:pPr>
        <w:pStyle w:val="17"/>
        <w:numPr>
          <w:ilvl w:val="0"/>
          <w:numId w:val="1"/>
        </w:numPr>
        <w:spacing w:before="40" w:after="40"/>
      </w:pPr>
      <w:r>
        <w:rPr>
          <w:rFonts w:ascii="Arial" w:hAnsi="Arial" w:eastAsia="Arial" w:cs="Arial"/>
          <w:sz w:val="20"/>
          <w:szCs w:val="20"/>
        </w:rPr>
        <w:t>Path: SPRO → Enterprise Structure → Assignment → MM → Assign Purchase Org to Company Code &amp; Plant</w:t>
      </w:r>
    </w:p>
    <w:p w14:paraId="1344537D">
      <w:pPr>
        <w:pStyle w:val="17"/>
        <w:numPr>
          <w:ilvl w:val="0"/>
          <w:numId w:val="1"/>
        </w:numPr>
        <w:spacing w:before="40" w:after="40"/>
      </w:pPr>
      <w:r>
        <w:rPr>
          <w:rFonts w:ascii="Arial" w:hAnsi="Arial" w:eastAsia="Arial" w:cs="Arial"/>
          <w:sz w:val="20"/>
          <w:szCs w:val="20"/>
        </w:rPr>
        <w:t>NX_PO → NXPL → NX01, NX02</w:t>
      </w:r>
    </w:p>
    <w:p w14:paraId="128A8996">
      <w:pPr>
        <w:spacing w:before="160" w:after="60"/>
      </w:pPr>
      <w:r>
        <w:rPr>
          <w:rFonts w:ascii="Arial" w:hAnsi="Arial" w:eastAsia="Arial" w:cs="Arial"/>
          <w:b/>
          <w:bCs/>
          <w:color w:val="2E75B6"/>
          <w:sz w:val="22"/>
          <w:szCs w:val="22"/>
        </w:rPr>
        <w:t>Step 6: Define Valuation Area</w:t>
      </w:r>
    </w:p>
    <w:p w14:paraId="5E8182FD">
      <w:pPr>
        <w:pStyle w:val="17"/>
        <w:numPr>
          <w:ilvl w:val="0"/>
          <w:numId w:val="1"/>
        </w:numPr>
        <w:spacing w:before="40" w:after="40"/>
      </w:pPr>
      <w:r>
        <w:rPr>
          <w:rFonts w:ascii="Arial" w:hAnsi="Arial" w:eastAsia="Arial" w:cs="Arial"/>
          <w:sz w:val="20"/>
          <w:szCs w:val="20"/>
        </w:rPr>
        <w:t>Valuation at Plant level — each delivery centre maintains independent IT asset valuation</w:t>
      </w:r>
    </w:p>
    <w:p w14:paraId="07A9AB16">
      <w:pPr>
        <w:pStyle w:val="17"/>
        <w:numPr>
          <w:ilvl w:val="0"/>
          <w:numId w:val="1"/>
        </w:numPr>
        <w:spacing w:before="40" w:after="40"/>
      </w:pPr>
      <w:r>
        <w:rPr>
          <w:rFonts w:ascii="Arial" w:hAnsi="Arial" w:eastAsia="Arial" w:cs="Arial"/>
          <w:sz w:val="20"/>
          <w:szCs w:val="20"/>
        </w:rPr>
        <w:t>IT Hardware: Moving Average Price (MAP) | Capital Equipment: Standard Price | T-Code: OMWM</w:t>
      </w:r>
    </w:p>
    <w:p w14:paraId="1B3C17C5">
      <w:pPr>
        <w:spacing w:before="160" w:after="60"/>
      </w:pPr>
      <w:r>
        <w:rPr>
          <w:rFonts w:ascii="Arial" w:hAnsi="Arial" w:eastAsia="Arial" w:cs="Arial"/>
          <w:b/>
          <w:bCs/>
          <w:color w:val="2E75B6"/>
          <w:sz w:val="22"/>
          <w:szCs w:val="22"/>
        </w:rPr>
        <w:t>Step 7: Define Vendor Account Groups</w:t>
      </w:r>
    </w:p>
    <w:p w14:paraId="03A88CAF">
      <w:pPr>
        <w:pStyle w:val="17"/>
        <w:numPr>
          <w:ilvl w:val="0"/>
          <w:numId w:val="1"/>
        </w:numPr>
        <w:spacing w:before="40" w:after="40"/>
      </w:pPr>
      <w:r>
        <w:rPr>
          <w:rFonts w:ascii="Arial" w:hAnsi="Arial" w:eastAsia="Arial" w:cs="Arial"/>
          <w:sz w:val="20"/>
          <w:szCs w:val="20"/>
        </w:rPr>
        <w:t>Domestic Vendors (VEND): Indian hardware/software vendors — taxable with GST</w:t>
      </w:r>
    </w:p>
    <w:p w14:paraId="76BEC9A9">
      <w:pPr>
        <w:pStyle w:val="17"/>
        <w:numPr>
          <w:ilvl w:val="0"/>
          <w:numId w:val="1"/>
        </w:numPr>
        <w:spacing w:before="40" w:after="40"/>
      </w:pPr>
      <w:r>
        <w:rPr>
          <w:rFonts w:ascii="Arial" w:hAnsi="Arial" w:eastAsia="Arial" w:cs="Arial"/>
          <w:sz w:val="20"/>
          <w:szCs w:val="20"/>
        </w:rPr>
        <w:t>Foreign Vendors (FVND): International SaaS and OEM vendors</w:t>
      </w:r>
    </w:p>
    <w:p w14:paraId="225F715A">
      <w:pPr>
        <w:pStyle w:val="17"/>
        <w:numPr>
          <w:ilvl w:val="0"/>
          <w:numId w:val="1"/>
        </w:numPr>
        <w:spacing w:before="40" w:after="40"/>
      </w:pPr>
      <w:r>
        <w:rPr>
          <w:rFonts w:ascii="Arial" w:hAnsi="Arial" w:eastAsia="Arial" w:cs="Arial"/>
          <w:sz w:val="20"/>
          <w:szCs w:val="20"/>
        </w:rPr>
        <w:t>One-Time Vendors (OTVE): Petty purchases and emergency procurement</w:t>
      </w:r>
    </w:p>
    <w:p w14:paraId="6F2B6C4C">
      <w:r>
        <w:br w:type="page"/>
      </w:r>
    </w:p>
    <w:p w14:paraId="75C3FE27">
      <w:pPr>
        <w:pStyle w:val="2"/>
        <w:pBdr>
          <w:bottom w:val="single" w:color="2E75B6" w:sz="4" w:space="4"/>
        </w:pBdr>
        <w:spacing w:before="360" w:after="160"/>
      </w:pPr>
      <w:r>
        <w:rPr>
          <w:rFonts w:ascii="Arial" w:hAnsi="Arial" w:eastAsia="Arial" w:cs="Arial"/>
          <w:b/>
          <w:bCs/>
          <w:color w:val="1F4E79"/>
          <w:sz w:val="32"/>
          <w:szCs w:val="32"/>
        </w:rPr>
        <w:t>5. Sales &amp; Distribution (SD) Module Configuration</w:t>
      </w:r>
    </w:p>
    <w:p w14:paraId="25080341">
      <w:pPr>
        <w:pStyle w:val="3"/>
        <w:spacing w:before="280" w:after="120"/>
      </w:pPr>
      <w:r>
        <w:rPr>
          <w:rFonts w:ascii="Arial" w:hAnsi="Arial" w:eastAsia="Arial" w:cs="Arial"/>
          <w:b/>
          <w:bCs/>
          <w:color w:val="2E75B6"/>
          <w:sz w:val="26"/>
          <w:szCs w:val="26"/>
        </w:rPr>
        <w:t>5.1 Module Overview</w:t>
      </w:r>
    </w:p>
    <w:p w14:paraId="2099B5D2">
      <w:pPr>
        <w:spacing w:before="80" w:after="80"/>
      </w:pPr>
      <w:r>
        <w:rPr>
          <w:rFonts w:ascii="Arial" w:hAnsi="Arial" w:eastAsia="Arial" w:cs="Arial"/>
          <w:sz w:val="22"/>
          <w:szCs w:val="22"/>
        </w:rPr>
        <w:t>The Sales &amp; Distribution (SD) module manages Nexora's complete Order-to-Cash cycle — from client engagement and quotation to project work order creation, milestone billing, and payment collection. It is tightly integrated with MM (for billable asset delivery) and FI (for revenue posting) to ensure real-time financial visibility on all client contracts.</w:t>
      </w:r>
    </w:p>
    <w:p w14:paraId="02E1E064">
      <w:pPr>
        <w:pStyle w:val="3"/>
        <w:spacing w:before="280" w:after="120"/>
      </w:pPr>
      <w:r>
        <w:rPr>
          <w:rFonts w:ascii="Arial" w:hAnsi="Arial" w:eastAsia="Arial" w:cs="Arial"/>
          <w:b/>
          <w:bCs/>
          <w:color w:val="2E75B6"/>
          <w:sz w:val="26"/>
          <w:szCs w:val="26"/>
        </w:rPr>
        <w:t>5.2 Sales Organization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479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44387CA">
            <w:pPr>
              <w:jc w:val="left"/>
            </w:pPr>
            <w:r>
              <w:rPr>
                <w:rFonts w:ascii="Arial" w:hAnsi="Arial" w:eastAsia="Arial" w:cs="Arial"/>
                <w:b/>
                <w:bCs/>
                <w:color w:val="FFFFFF"/>
                <w:sz w:val="20"/>
                <w:szCs w:val="20"/>
              </w:rPr>
              <w:t>Parameter</w:t>
            </w:r>
          </w:p>
        </w:tc>
        <w:tc>
          <w:tcPr>
            <w:tcW w:w="61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F1AC3F9">
            <w:pPr>
              <w:jc w:val="left"/>
            </w:pPr>
            <w:r>
              <w:rPr>
                <w:rFonts w:ascii="Arial" w:hAnsi="Arial" w:eastAsia="Arial" w:cs="Arial"/>
                <w:b/>
                <w:bCs/>
                <w:color w:val="FFFFFF"/>
                <w:sz w:val="20"/>
                <w:szCs w:val="20"/>
              </w:rPr>
              <w:t>Value</w:t>
            </w:r>
          </w:p>
        </w:tc>
      </w:tr>
      <w:tr w14:paraId="4177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BF0B03">
            <w:r>
              <w:rPr>
                <w:rFonts w:ascii="Arial" w:hAnsi="Arial" w:eastAsia="Arial" w:cs="Arial"/>
                <w:sz w:val="20"/>
                <w:szCs w:val="20"/>
              </w:rPr>
              <w:t>Sales Org Code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BAF950">
            <w:r>
              <w:rPr>
                <w:rFonts w:ascii="Arial" w:hAnsi="Arial" w:eastAsia="Arial" w:cs="Arial"/>
                <w:sz w:val="20"/>
                <w:szCs w:val="20"/>
              </w:rPr>
              <w:t>NX_SO</w:t>
            </w:r>
          </w:p>
        </w:tc>
      </w:tr>
      <w:tr w14:paraId="3294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1047A04">
            <w:r>
              <w:rPr>
                <w:rFonts w:ascii="Arial" w:hAnsi="Arial" w:eastAsia="Arial" w:cs="Arial"/>
                <w:sz w:val="20"/>
                <w:szCs w:val="20"/>
              </w:rPr>
              <w:t>Sales Org Name</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728A841">
            <w:r>
              <w:rPr>
                <w:rFonts w:ascii="Arial" w:hAnsi="Arial" w:eastAsia="Arial" w:cs="Arial"/>
                <w:sz w:val="20"/>
                <w:szCs w:val="20"/>
              </w:rPr>
              <w:t>Nexora Sales Organization</w:t>
            </w:r>
          </w:p>
        </w:tc>
      </w:tr>
      <w:tr w14:paraId="677D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9509F3">
            <w:r>
              <w:rPr>
                <w:rFonts w:ascii="Arial" w:hAnsi="Arial" w:eastAsia="Arial" w:cs="Arial"/>
                <w:sz w:val="20"/>
                <w:szCs w:val="20"/>
              </w:rPr>
              <w:t>Company Code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D3BE2A">
            <w:r>
              <w:rPr>
                <w:rFonts w:ascii="Arial" w:hAnsi="Arial" w:eastAsia="Arial" w:cs="Arial"/>
                <w:sz w:val="20"/>
                <w:szCs w:val="20"/>
              </w:rPr>
              <w:t>NXPL</w:t>
            </w:r>
          </w:p>
        </w:tc>
      </w:tr>
      <w:tr w14:paraId="05D8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67C8076">
            <w:r>
              <w:rPr>
                <w:rFonts w:ascii="Arial" w:hAnsi="Arial" w:eastAsia="Arial" w:cs="Arial"/>
                <w:sz w:val="20"/>
                <w:szCs w:val="20"/>
              </w:rPr>
              <w:t>Currency</w:t>
            </w:r>
          </w:p>
        </w:tc>
        <w:tc>
          <w:tcPr>
            <w:tcW w:w="6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02AD6E8">
            <w:r>
              <w:rPr>
                <w:rFonts w:ascii="Arial" w:hAnsi="Arial" w:eastAsia="Arial" w:cs="Arial"/>
                <w:sz w:val="20"/>
                <w:szCs w:val="20"/>
              </w:rPr>
              <w:t>INR</w:t>
            </w:r>
          </w:p>
        </w:tc>
      </w:tr>
    </w:tbl>
    <w:p w14:paraId="1312CDD7">
      <w:pPr>
        <w:pStyle w:val="3"/>
        <w:spacing w:before="280" w:after="120"/>
        <w:rPr>
          <w:rFonts w:hint="default" w:ascii="Arial" w:hAnsi="Arial" w:eastAsia="Arial" w:cs="Arial"/>
          <w:b/>
          <w:bCs/>
          <w:color w:val="2E75B6"/>
          <w:sz w:val="26"/>
          <w:szCs w:val="26"/>
          <w:lang w:val="en-US"/>
        </w:rPr>
      </w:pPr>
      <w:r>
        <w:rPr>
          <w:rFonts w:hint="default" w:ascii="Arial" w:hAnsi="Arial" w:eastAsia="Arial" w:cs="Arial"/>
          <w:b/>
          <w:bCs/>
          <w:color w:val="2E75B6"/>
          <w:sz w:val="26"/>
          <w:szCs w:val="26"/>
          <w:lang w:val="en-US"/>
        </w:rPr>
        <w:drawing>
          <wp:inline distT="0" distB="0" distL="114300" distR="114300">
            <wp:extent cx="6165850" cy="4281805"/>
            <wp:effectExtent l="0" t="0" r="6350" b="10795"/>
            <wp:docPr id="4" name="Picture 4" descr="Screenshot 2026-04-20 23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0 232733"/>
                    <pic:cNvPicPr>
                      <a:picLocks noChangeAspect="1"/>
                    </pic:cNvPicPr>
                  </pic:nvPicPr>
                  <pic:blipFill>
                    <a:blip r:embed="rId9"/>
                    <a:stretch>
                      <a:fillRect/>
                    </a:stretch>
                  </pic:blipFill>
                  <pic:spPr>
                    <a:xfrm>
                      <a:off x="0" y="0"/>
                      <a:ext cx="6165850" cy="4281805"/>
                    </a:xfrm>
                    <a:prstGeom prst="rect">
                      <a:avLst/>
                    </a:prstGeom>
                  </pic:spPr>
                </pic:pic>
              </a:graphicData>
            </a:graphic>
          </wp:inline>
        </w:drawing>
      </w:r>
    </w:p>
    <w:p w14:paraId="2CE565F1">
      <w:pPr>
        <w:rPr>
          <w:rFonts w:hint="default" w:ascii="Arial" w:hAnsi="Arial" w:eastAsia="Arial" w:cs="Arial"/>
          <w:b/>
          <w:bCs/>
          <w:color w:val="2E75B6"/>
          <w:sz w:val="26"/>
          <w:szCs w:val="26"/>
          <w:lang w:val="en-US"/>
        </w:rPr>
      </w:pPr>
    </w:p>
    <w:p w14:paraId="5524736C">
      <w:pPr>
        <w:pStyle w:val="15"/>
        <w:keepNext w:val="0"/>
        <w:keepLines w:val="0"/>
        <w:widowControl/>
        <w:suppressLineNumbers w:val="0"/>
        <w:ind w:left="720" w:right="720"/>
        <w:jc w:val="center"/>
        <w:rPr>
          <w:rFonts w:hint="default" w:ascii="Arial" w:hAnsi="Arial" w:cs="Arial"/>
          <w:sz w:val="22"/>
          <w:szCs w:val="22"/>
        </w:rPr>
      </w:pPr>
      <w:bookmarkStart w:id="0" w:name="_GoBack"/>
      <w:r>
        <w:rPr>
          <w:rFonts w:hint="default" w:ascii="Arial" w:hAnsi="Arial" w:eastAsia="SimSun" w:cs="Arial"/>
          <w:sz w:val="22"/>
          <w:szCs w:val="22"/>
        </w:rPr>
        <w:t>Figure 4: Sales Organization setup for client billing and sales structure.</w:t>
      </w:r>
    </w:p>
    <w:bookmarkEnd w:id="0"/>
    <w:p w14:paraId="0F818560">
      <w:pPr>
        <w:rPr>
          <w:rFonts w:hint="default" w:ascii="Arial" w:hAnsi="Arial" w:eastAsia="Arial" w:cs="Arial"/>
          <w:b/>
          <w:bCs/>
          <w:color w:val="2E75B6"/>
          <w:sz w:val="26"/>
          <w:szCs w:val="26"/>
          <w:lang w:val="en-US"/>
        </w:rPr>
      </w:pPr>
    </w:p>
    <w:p w14:paraId="559A7E3A">
      <w:pPr>
        <w:pStyle w:val="3"/>
        <w:spacing w:before="280" w:after="120"/>
      </w:pPr>
      <w:r>
        <w:rPr>
          <w:rFonts w:ascii="Arial" w:hAnsi="Arial" w:eastAsia="Arial" w:cs="Arial"/>
          <w:b/>
          <w:bCs/>
          <w:color w:val="2E75B6"/>
          <w:sz w:val="26"/>
          <w:szCs w:val="26"/>
        </w:rPr>
        <w:t>5.3 Distribution Channels</w:t>
      </w:r>
    </w:p>
    <w:p w14:paraId="7BBC2654">
      <w:pPr>
        <w:spacing w:before="80" w:after="80"/>
      </w:pPr>
      <w:r>
        <w:rPr>
          <w:rFonts w:ascii="Arial" w:hAnsi="Arial" w:eastAsia="Arial" w:cs="Arial"/>
          <w:sz w:val="22"/>
          <w:szCs w:val="22"/>
        </w:rPr>
        <w:t>Distribution Channels define how Nexora delivers its services to clients.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2A13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5EC3EF5">
            <w:pPr>
              <w:jc w:val="left"/>
            </w:pPr>
            <w:r>
              <w:rPr>
                <w:rFonts w:ascii="Arial" w:hAnsi="Arial" w:eastAsia="Arial" w:cs="Arial"/>
                <w:b/>
                <w:bCs/>
                <w:color w:val="FFFFFF"/>
                <w:sz w:val="20"/>
                <w:szCs w:val="20"/>
              </w:rPr>
              <w:t>Channel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FCF5EF8">
            <w:pPr>
              <w:jc w:val="left"/>
            </w:pPr>
            <w:r>
              <w:rPr>
                <w:rFonts w:ascii="Arial" w:hAnsi="Arial" w:eastAsia="Arial" w:cs="Arial"/>
                <w:b/>
                <w:bCs/>
                <w:color w:val="FFFFFF"/>
                <w:sz w:val="20"/>
                <w:szCs w:val="20"/>
              </w:rPr>
              <w:t>Channel Name</w:t>
            </w:r>
          </w:p>
        </w:tc>
        <w:tc>
          <w:tcPr>
            <w:tcW w:w="45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0DB1398">
            <w:pPr>
              <w:jc w:val="left"/>
            </w:pPr>
            <w:r>
              <w:rPr>
                <w:rFonts w:ascii="Arial" w:hAnsi="Arial" w:eastAsia="Arial" w:cs="Arial"/>
                <w:b/>
                <w:bCs/>
                <w:color w:val="FFFFFF"/>
                <w:sz w:val="20"/>
                <w:szCs w:val="20"/>
              </w:rPr>
              <w:t>Description</w:t>
            </w:r>
          </w:p>
        </w:tc>
      </w:tr>
      <w:tr w14:paraId="74D12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827427">
            <w:r>
              <w:rPr>
                <w:rFonts w:ascii="Arial" w:hAnsi="Arial" w:eastAsia="Arial" w:cs="Arial"/>
                <w:sz w:val="20"/>
                <w:szCs w:val="20"/>
              </w:rPr>
              <w:t>DI</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001284D">
            <w:r>
              <w:rPr>
                <w:rFonts w:ascii="Arial" w:hAnsi="Arial" w:eastAsia="Arial" w:cs="Arial"/>
                <w:sz w:val="20"/>
                <w:szCs w:val="20"/>
              </w:rPr>
              <w:t>Direct Engagement</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F45FD6">
            <w:r>
              <w:rPr>
                <w:rFonts w:ascii="Arial" w:hAnsi="Arial" w:eastAsia="Arial" w:cs="Arial"/>
                <w:sz w:val="20"/>
                <w:szCs w:val="20"/>
              </w:rPr>
              <w:t>Direct B2B contracts with enterprise clients</w:t>
            </w:r>
          </w:p>
        </w:tc>
      </w:tr>
      <w:tr w14:paraId="35E5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E34D7C6">
            <w:r>
              <w:rPr>
                <w:rFonts w:ascii="Arial" w:hAnsi="Arial" w:eastAsia="Arial" w:cs="Arial"/>
                <w:sz w:val="20"/>
                <w:szCs w:val="20"/>
              </w:rPr>
              <w:t>PT</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C467E42">
            <w:r>
              <w:rPr>
                <w:rFonts w:ascii="Arial" w:hAnsi="Arial" w:eastAsia="Arial" w:cs="Arial"/>
                <w:sz w:val="20"/>
                <w:szCs w:val="20"/>
              </w:rPr>
              <w:t>Partner Channel</w:t>
            </w:r>
          </w:p>
        </w:tc>
        <w:tc>
          <w:tcPr>
            <w:tcW w:w="4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9AF0DC8">
            <w:r>
              <w:rPr>
                <w:rFonts w:ascii="Arial" w:hAnsi="Arial" w:eastAsia="Arial" w:cs="Arial"/>
                <w:sz w:val="20"/>
                <w:szCs w:val="20"/>
              </w:rPr>
              <w:t>Sales through system integrator partners</w:t>
            </w:r>
          </w:p>
        </w:tc>
      </w:tr>
      <w:tr w14:paraId="2CE2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6FE915">
            <w:r>
              <w:rPr>
                <w:rFonts w:ascii="Arial" w:hAnsi="Arial" w:eastAsia="Arial" w:cs="Arial"/>
                <w:sz w:val="20"/>
                <w:szCs w:val="20"/>
              </w:rPr>
              <w:t>OF</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E0BADA">
            <w:r>
              <w:rPr>
                <w:rFonts w:ascii="Arial" w:hAnsi="Arial" w:eastAsia="Arial" w:cs="Arial"/>
                <w:sz w:val="20"/>
                <w:szCs w:val="20"/>
              </w:rPr>
              <w:t>Offshore Delivery</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3FB94F">
            <w:r>
              <w:rPr>
                <w:rFonts w:ascii="Arial" w:hAnsi="Arial" w:eastAsia="Arial" w:cs="Arial"/>
                <w:sz w:val="20"/>
                <w:szCs w:val="20"/>
              </w:rPr>
              <w:t>Fixed-price offshore project contracts</w:t>
            </w:r>
          </w:p>
        </w:tc>
      </w:tr>
    </w:tbl>
    <w:p w14:paraId="6383EE5C">
      <w:pPr>
        <w:pStyle w:val="3"/>
        <w:spacing w:before="280" w:after="120"/>
      </w:pPr>
      <w:r>
        <w:rPr>
          <w:rFonts w:ascii="Arial" w:hAnsi="Arial" w:eastAsia="Arial" w:cs="Arial"/>
          <w:b/>
          <w:bCs/>
          <w:color w:val="2E75B6"/>
          <w:sz w:val="26"/>
          <w:szCs w:val="26"/>
        </w:rPr>
        <w:t>5.4 Divisions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400F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6E0A551">
            <w:pPr>
              <w:jc w:val="left"/>
            </w:pPr>
            <w:r>
              <w:rPr>
                <w:rFonts w:ascii="Arial" w:hAnsi="Arial" w:eastAsia="Arial" w:cs="Arial"/>
                <w:b/>
                <w:bCs/>
                <w:color w:val="FFFFFF"/>
                <w:sz w:val="20"/>
                <w:szCs w:val="20"/>
              </w:rPr>
              <w:t>Division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6978619">
            <w:pPr>
              <w:jc w:val="left"/>
            </w:pPr>
            <w:r>
              <w:rPr>
                <w:rFonts w:ascii="Arial" w:hAnsi="Arial" w:eastAsia="Arial" w:cs="Arial"/>
                <w:b/>
                <w:bCs/>
                <w:color w:val="FFFFFF"/>
                <w:sz w:val="20"/>
                <w:szCs w:val="20"/>
              </w:rPr>
              <w:t>Division Name</w:t>
            </w:r>
          </w:p>
        </w:tc>
        <w:tc>
          <w:tcPr>
            <w:tcW w:w="45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A185334">
            <w:pPr>
              <w:jc w:val="left"/>
            </w:pPr>
            <w:r>
              <w:rPr>
                <w:rFonts w:ascii="Arial" w:hAnsi="Arial" w:eastAsia="Arial" w:cs="Arial"/>
                <w:b/>
                <w:bCs/>
                <w:color w:val="FFFFFF"/>
                <w:sz w:val="20"/>
                <w:szCs w:val="20"/>
              </w:rPr>
              <w:t>Services</w:t>
            </w:r>
          </w:p>
        </w:tc>
      </w:tr>
      <w:tr w14:paraId="3720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1CC498">
            <w:r>
              <w:rPr>
                <w:rFonts w:ascii="Arial" w:hAnsi="Arial" w:eastAsia="Arial" w:cs="Arial"/>
                <w:sz w:val="20"/>
                <w:szCs w:val="20"/>
              </w:rPr>
              <w:t>SW</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65DC7E">
            <w:r>
              <w:rPr>
                <w:rFonts w:ascii="Arial" w:hAnsi="Arial" w:eastAsia="Arial" w:cs="Arial"/>
                <w:sz w:val="20"/>
                <w:szCs w:val="20"/>
              </w:rPr>
              <w:t>Software Services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8158B6">
            <w:r>
              <w:rPr>
                <w:rFonts w:ascii="Arial" w:hAnsi="Arial" w:eastAsia="Arial" w:cs="Arial"/>
                <w:sz w:val="20"/>
                <w:szCs w:val="20"/>
              </w:rPr>
              <w:t>Custom development, QA, digital transformation</w:t>
            </w:r>
          </w:p>
        </w:tc>
      </w:tr>
      <w:tr w14:paraId="1C0B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34F33D9">
            <w:r>
              <w:rPr>
                <w:rFonts w:ascii="Arial" w:hAnsi="Arial" w:eastAsia="Arial" w:cs="Arial"/>
                <w:sz w:val="20"/>
                <w:szCs w:val="20"/>
              </w:rPr>
              <w:t>IN</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5B6B5A3">
            <w:r>
              <w:rPr>
                <w:rFonts w:ascii="Arial" w:hAnsi="Arial" w:eastAsia="Arial" w:cs="Arial"/>
                <w:sz w:val="20"/>
                <w:szCs w:val="20"/>
              </w:rPr>
              <w:t>Infrastructure Services</w:t>
            </w:r>
          </w:p>
        </w:tc>
        <w:tc>
          <w:tcPr>
            <w:tcW w:w="4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5AF830D">
            <w:r>
              <w:rPr>
                <w:rFonts w:ascii="Arial" w:hAnsi="Arial" w:eastAsia="Arial" w:cs="Arial"/>
                <w:sz w:val="20"/>
                <w:szCs w:val="20"/>
              </w:rPr>
              <w:t>Cloud, networking, IT infrastructure management</w:t>
            </w:r>
          </w:p>
        </w:tc>
      </w:tr>
      <w:tr w14:paraId="5293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325B04">
            <w:r>
              <w:rPr>
                <w:rFonts w:ascii="Arial" w:hAnsi="Arial" w:eastAsia="Arial" w:cs="Arial"/>
                <w:sz w:val="20"/>
                <w:szCs w:val="20"/>
              </w:rPr>
              <w:t>CS</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90CA60">
            <w:r>
              <w:rPr>
                <w:rFonts w:ascii="Arial" w:hAnsi="Arial" w:eastAsia="Arial" w:cs="Arial"/>
                <w:sz w:val="20"/>
                <w:szCs w:val="20"/>
              </w:rPr>
              <w:t>Consulting Services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138BC1">
            <w:r>
              <w:rPr>
                <w:rFonts w:ascii="Arial" w:hAnsi="Arial" w:eastAsia="Arial" w:cs="Arial"/>
                <w:sz w:val="20"/>
                <w:szCs w:val="20"/>
              </w:rPr>
              <w:t>SAP, ERP, IT advisory, business analysis</w:t>
            </w:r>
          </w:p>
        </w:tc>
      </w:tr>
    </w:tbl>
    <w:p w14:paraId="58CD532B">
      <w:pPr>
        <w:pStyle w:val="3"/>
        <w:spacing w:before="280" w:after="120"/>
      </w:pPr>
      <w:r>
        <w:rPr>
          <w:rFonts w:ascii="Arial" w:hAnsi="Arial" w:eastAsia="Arial" w:cs="Arial"/>
          <w:b/>
          <w:bCs/>
          <w:color w:val="2E75B6"/>
          <w:sz w:val="26"/>
          <w:szCs w:val="26"/>
        </w:rPr>
        <w:t>5.5 Sales Area</w:t>
      </w:r>
    </w:p>
    <w:p w14:paraId="3FAED1AF">
      <w:pPr>
        <w:spacing w:before="80" w:after="80"/>
      </w:pPr>
      <w:r>
        <w:rPr>
          <w:rFonts w:ascii="Arial" w:hAnsi="Arial" w:eastAsia="Arial" w:cs="Arial"/>
          <w:sz w:val="22"/>
          <w:szCs w:val="22"/>
        </w:rPr>
        <w:t>The Sales Area is the combination of Sales Organization + Distribution Channel + Division. Each unique combination forms a Sales Area with its own pricing, customer master data, and sales document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1800"/>
        <w:gridCol w:w="3360"/>
      </w:tblGrid>
      <w:tr w14:paraId="3861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C99144E">
            <w:pPr>
              <w:jc w:val="left"/>
            </w:pPr>
            <w:r>
              <w:rPr>
                <w:rFonts w:ascii="Arial" w:hAnsi="Arial" w:eastAsia="Arial" w:cs="Arial"/>
                <w:b/>
                <w:bCs/>
                <w:color w:val="FFFFFF"/>
                <w:sz w:val="20"/>
                <w:szCs w:val="20"/>
              </w:rPr>
              <w:t>Sales Org</w:t>
            </w:r>
          </w:p>
        </w:tc>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61F189E">
            <w:pPr>
              <w:jc w:val="left"/>
            </w:pPr>
            <w:r>
              <w:rPr>
                <w:rFonts w:ascii="Arial" w:hAnsi="Arial" w:eastAsia="Arial" w:cs="Arial"/>
                <w:b/>
                <w:bCs/>
                <w:color w:val="FFFFFF"/>
                <w:sz w:val="20"/>
                <w:szCs w:val="20"/>
              </w:rPr>
              <w:t>Distribution Channel</w:t>
            </w:r>
          </w:p>
        </w:tc>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5B6551F">
            <w:pPr>
              <w:jc w:val="left"/>
            </w:pPr>
            <w:r>
              <w:rPr>
                <w:rFonts w:ascii="Arial" w:hAnsi="Arial" w:eastAsia="Arial" w:cs="Arial"/>
                <w:b/>
                <w:bCs/>
                <w:color w:val="FFFFFF"/>
                <w:sz w:val="20"/>
                <w:szCs w:val="20"/>
              </w:rPr>
              <w:t>Division</w:t>
            </w:r>
          </w:p>
        </w:tc>
        <w:tc>
          <w:tcPr>
            <w:tcW w:w="3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6E5CB5B">
            <w:pPr>
              <w:jc w:val="left"/>
            </w:pPr>
            <w:r>
              <w:rPr>
                <w:rFonts w:ascii="Arial" w:hAnsi="Arial" w:eastAsia="Arial" w:cs="Arial"/>
                <w:b/>
                <w:bCs/>
                <w:color w:val="FFFFFF"/>
                <w:sz w:val="20"/>
                <w:szCs w:val="20"/>
              </w:rPr>
              <w:t>Sales Area Description</w:t>
            </w:r>
          </w:p>
        </w:tc>
      </w:tr>
      <w:tr w14:paraId="690E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4F8642">
            <w:r>
              <w:rPr>
                <w:rFonts w:ascii="Arial" w:hAnsi="Arial" w:eastAsia="Arial" w:cs="Arial"/>
                <w:sz w:val="20"/>
                <w:szCs w:val="20"/>
              </w:rPr>
              <w:t>NX_SO</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CBD623">
            <w:r>
              <w:rPr>
                <w:rFonts w:ascii="Arial" w:hAnsi="Arial" w:eastAsia="Arial" w:cs="Arial"/>
                <w:sz w:val="20"/>
                <w:szCs w:val="20"/>
              </w:rPr>
              <w:t>DI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DFD67D">
            <w:r>
              <w:rPr>
                <w:rFonts w:ascii="Arial" w:hAnsi="Arial" w:eastAsia="Arial" w:cs="Arial"/>
                <w:sz w:val="20"/>
                <w:szCs w:val="20"/>
              </w:rPr>
              <w:t>SW</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EB7866">
            <w:r>
              <w:rPr>
                <w:rFonts w:ascii="Arial" w:hAnsi="Arial" w:eastAsia="Arial" w:cs="Arial"/>
                <w:sz w:val="20"/>
                <w:szCs w:val="20"/>
              </w:rPr>
              <w:t>Direct — Software Services</w:t>
            </w:r>
          </w:p>
        </w:tc>
      </w:tr>
      <w:tr w14:paraId="3838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BEA77AE">
            <w:r>
              <w:rPr>
                <w:rFonts w:ascii="Arial" w:hAnsi="Arial" w:eastAsia="Arial" w:cs="Arial"/>
                <w:sz w:val="20"/>
                <w:szCs w:val="20"/>
              </w:rPr>
              <w:t>NX_SO</w:t>
            </w:r>
          </w:p>
        </w:tc>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FA5D1C8">
            <w:r>
              <w:rPr>
                <w:rFonts w:ascii="Arial" w:hAnsi="Arial" w:eastAsia="Arial" w:cs="Arial"/>
                <w:sz w:val="20"/>
                <w:szCs w:val="20"/>
              </w:rPr>
              <w:t>DI</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8435344">
            <w:r>
              <w:rPr>
                <w:rFonts w:ascii="Arial" w:hAnsi="Arial" w:eastAsia="Arial" w:cs="Arial"/>
                <w:sz w:val="20"/>
                <w:szCs w:val="20"/>
              </w:rPr>
              <w:t>IN</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456A956">
            <w:r>
              <w:rPr>
                <w:rFonts w:ascii="Arial" w:hAnsi="Arial" w:eastAsia="Arial" w:cs="Arial"/>
                <w:sz w:val="20"/>
                <w:szCs w:val="20"/>
              </w:rPr>
              <w:t>Direct — Infrastructure Services</w:t>
            </w:r>
          </w:p>
        </w:tc>
      </w:tr>
      <w:tr w14:paraId="4898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7DE296">
            <w:r>
              <w:rPr>
                <w:rFonts w:ascii="Arial" w:hAnsi="Arial" w:eastAsia="Arial" w:cs="Arial"/>
                <w:sz w:val="20"/>
                <w:szCs w:val="20"/>
              </w:rPr>
              <w:t>NX_SO</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ED1B58">
            <w:r>
              <w:rPr>
                <w:rFonts w:ascii="Arial" w:hAnsi="Arial" w:eastAsia="Arial" w:cs="Arial"/>
                <w:sz w:val="20"/>
                <w:szCs w:val="20"/>
              </w:rPr>
              <w:t>PT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A4630E">
            <w:r>
              <w:rPr>
                <w:rFonts w:ascii="Arial" w:hAnsi="Arial" w:eastAsia="Arial" w:cs="Arial"/>
                <w:sz w:val="20"/>
                <w:szCs w:val="20"/>
              </w:rPr>
              <w:t>SW</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627598">
            <w:r>
              <w:rPr>
                <w:rFonts w:ascii="Arial" w:hAnsi="Arial" w:eastAsia="Arial" w:cs="Arial"/>
                <w:sz w:val="20"/>
                <w:szCs w:val="20"/>
              </w:rPr>
              <w:t>Partner — Software Services</w:t>
            </w:r>
          </w:p>
        </w:tc>
      </w:tr>
      <w:tr w14:paraId="054B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7697DC5">
            <w:r>
              <w:rPr>
                <w:rFonts w:ascii="Arial" w:hAnsi="Arial" w:eastAsia="Arial" w:cs="Arial"/>
                <w:sz w:val="20"/>
                <w:szCs w:val="20"/>
              </w:rPr>
              <w:t>NX_SO</w:t>
            </w:r>
          </w:p>
        </w:tc>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4A235CF">
            <w:r>
              <w:rPr>
                <w:rFonts w:ascii="Arial" w:hAnsi="Arial" w:eastAsia="Arial" w:cs="Arial"/>
                <w:sz w:val="20"/>
                <w:szCs w:val="20"/>
              </w:rPr>
              <w:t>OF</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AE83592">
            <w:r>
              <w:rPr>
                <w:rFonts w:ascii="Arial" w:hAnsi="Arial" w:eastAsia="Arial" w:cs="Arial"/>
                <w:sz w:val="20"/>
                <w:szCs w:val="20"/>
              </w:rPr>
              <w:t>SW</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7BA066F">
            <w:r>
              <w:rPr>
                <w:rFonts w:ascii="Arial" w:hAnsi="Arial" w:eastAsia="Arial" w:cs="Arial"/>
                <w:sz w:val="20"/>
                <w:szCs w:val="20"/>
              </w:rPr>
              <w:t>Offshore — Software Services</w:t>
            </w:r>
          </w:p>
        </w:tc>
      </w:tr>
      <w:tr w14:paraId="065B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DDC5CA">
            <w:r>
              <w:rPr>
                <w:rFonts w:ascii="Arial" w:hAnsi="Arial" w:eastAsia="Arial" w:cs="Arial"/>
                <w:sz w:val="20"/>
                <w:szCs w:val="20"/>
              </w:rPr>
              <w:t>NX_SO</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3A0CB1">
            <w:r>
              <w:rPr>
                <w:rFonts w:ascii="Arial" w:hAnsi="Arial" w:eastAsia="Arial" w:cs="Arial"/>
                <w:sz w:val="20"/>
                <w:szCs w:val="20"/>
              </w:rPr>
              <w:t>DI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55346A">
            <w:r>
              <w:rPr>
                <w:rFonts w:ascii="Arial" w:hAnsi="Arial" w:eastAsia="Arial" w:cs="Arial"/>
                <w:sz w:val="20"/>
                <w:szCs w:val="20"/>
              </w:rPr>
              <w:t>CS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819EDD">
            <w:r>
              <w:rPr>
                <w:rFonts w:ascii="Arial" w:hAnsi="Arial" w:eastAsia="Arial" w:cs="Arial"/>
                <w:sz w:val="20"/>
                <w:szCs w:val="20"/>
              </w:rPr>
              <w:t>Direct — Consulting Services</w:t>
            </w:r>
          </w:p>
        </w:tc>
      </w:tr>
    </w:tbl>
    <w:p w14:paraId="53CAC905">
      <w:pPr>
        <w:pStyle w:val="3"/>
        <w:spacing w:before="280" w:after="120"/>
      </w:pPr>
      <w:r>
        <w:rPr>
          <w:rFonts w:ascii="Arial" w:hAnsi="Arial" w:eastAsia="Arial" w:cs="Arial"/>
          <w:b/>
          <w:bCs/>
          <w:color w:val="2E75B6"/>
          <w:sz w:val="26"/>
          <w:szCs w:val="26"/>
        </w:rPr>
        <w:t>5.6 Shipping 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160"/>
      </w:tblGrid>
      <w:tr w14:paraId="20FB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6FA8230">
            <w:pPr>
              <w:jc w:val="left"/>
            </w:pPr>
            <w:r>
              <w:rPr>
                <w:rFonts w:ascii="Arial" w:hAnsi="Arial" w:eastAsia="Arial" w:cs="Arial"/>
                <w:b/>
                <w:bCs/>
                <w:color w:val="FFFFFF"/>
                <w:sz w:val="20"/>
                <w:szCs w:val="20"/>
              </w:rPr>
              <w:t>Shipping Point</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BCCC1FF">
            <w:pPr>
              <w:jc w:val="left"/>
            </w:pPr>
            <w:r>
              <w:rPr>
                <w:rFonts w:ascii="Arial" w:hAnsi="Arial" w:eastAsia="Arial" w:cs="Arial"/>
                <w:b/>
                <w:bCs/>
                <w:color w:val="FFFFFF"/>
                <w:sz w:val="20"/>
                <w:szCs w:val="20"/>
              </w:rPr>
              <w:t>Code</w:t>
            </w:r>
          </w:p>
        </w:tc>
        <w:tc>
          <w:tcPr>
            <w:tcW w:w="51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D589E42">
            <w:pPr>
              <w:jc w:val="left"/>
            </w:pPr>
            <w:r>
              <w:rPr>
                <w:rFonts w:ascii="Arial" w:hAnsi="Arial" w:eastAsia="Arial" w:cs="Arial"/>
                <w:b/>
                <w:bCs/>
                <w:color w:val="FFFFFF"/>
                <w:sz w:val="20"/>
                <w:szCs w:val="20"/>
              </w:rPr>
              <w:t>Location</w:t>
            </w:r>
          </w:p>
        </w:tc>
      </w:tr>
      <w:tr w14:paraId="468D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A881FB">
            <w:r>
              <w:rPr>
                <w:rFonts w:ascii="Arial" w:hAnsi="Arial" w:eastAsia="Arial" w:cs="Arial"/>
                <w:sz w:val="20"/>
                <w:szCs w:val="20"/>
              </w:rPr>
              <w:t>Bengaluru Dispatch Point</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8448C6">
            <w:r>
              <w:rPr>
                <w:rFonts w:ascii="Arial" w:hAnsi="Arial" w:eastAsia="Arial" w:cs="Arial"/>
                <w:sz w:val="20"/>
                <w:szCs w:val="20"/>
              </w:rPr>
              <w:t>SPBG</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5DB459">
            <w:r>
              <w:rPr>
                <w:rFonts w:ascii="Arial" w:hAnsi="Arial" w:eastAsia="Arial" w:cs="Arial"/>
                <w:sz w:val="20"/>
                <w:szCs w:val="20"/>
              </w:rPr>
              <w:t>NX01 Plant — Bengaluru (for hardware deliveries)</w:t>
            </w:r>
          </w:p>
        </w:tc>
      </w:tr>
      <w:tr w14:paraId="6CF2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CD4EDFB">
            <w:r>
              <w:rPr>
                <w:rFonts w:ascii="Arial" w:hAnsi="Arial" w:eastAsia="Arial" w:cs="Arial"/>
                <w:sz w:val="20"/>
                <w:szCs w:val="20"/>
              </w:rPr>
              <w:t>Hyderabad Dispatch Point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16E9AFF">
            <w:r>
              <w:rPr>
                <w:rFonts w:ascii="Arial" w:hAnsi="Arial" w:eastAsia="Arial" w:cs="Arial"/>
                <w:sz w:val="20"/>
                <w:szCs w:val="20"/>
              </w:rPr>
              <w:t>SPHY</w:t>
            </w:r>
          </w:p>
        </w:tc>
        <w:tc>
          <w:tcPr>
            <w:tcW w:w="5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1333C1F">
            <w:r>
              <w:rPr>
                <w:rFonts w:ascii="Arial" w:hAnsi="Arial" w:eastAsia="Arial" w:cs="Arial"/>
                <w:sz w:val="20"/>
                <w:szCs w:val="20"/>
              </w:rPr>
              <w:t>NX02 Plant — Hyderabad (for hardware deliveries)</w:t>
            </w:r>
          </w:p>
        </w:tc>
      </w:tr>
    </w:tbl>
    <w:p w14:paraId="4250A9CE">
      <w:pPr>
        <w:pStyle w:val="3"/>
        <w:spacing w:before="280" w:after="120"/>
      </w:pPr>
      <w:r>
        <w:rPr>
          <w:rFonts w:ascii="Arial" w:hAnsi="Arial" w:eastAsia="Arial" w:cs="Arial"/>
          <w:b/>
          <w:bCs/>
          <w:color w:val="2E75B6"/>
          <w:sz w:val="26"/>
          <w:szCs w:val="26"/>
        </w:rPr>
        <w:t>5.7 Customer Account 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5560"/>
      </w:tblGrid>
      <w:tr w14:paraId="0F9E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3F316EA">
            <w:pPr>
              <w:jc w:val="left"/>
            </w:pPr>
            <w:r>
              <w:rPr>
                <w:rFonts w:ascii="Arial" w:hAnsi="Arial" w:eastAsia="Arial" w:cs="Arial"/>
                <w:b/>
                <w:bCs/>
                <w:color w:val="FFFFFF"/>
                <w:sz w:val="20"/>
                <w:szCs w:val="20"/>
              </w:rPr>
              <w:t>Account Group</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5A63040">
            <w:pPr>
              <w:jc w:val="left"/>
            </w:pPr>
            <w:r>
              <w:rPr>
                <w:rFonts w:ascii="Arial" w:hAnsi="Arial" w:eastAsia="Arial" w:cs="Arial"/>
                <w:b/>
                <w:bCs/>
                <w:color w:val="FFFFFF"/>
                <w:sz w:val="20"/>
                <w:szCs w:val="20"/>
              </w:rPr>
              <w:t>Code</w:t>
            </w:r>
          </w:p>
        </w:tc>
        <w:tc>
          <w:tcPr>
            <w:tcW w:w="55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D344798">
            <w:pPr>
              <w:jc w:val="left"/>
            </w:pPr>
            <w:r>
              <w:rPr>
                <w:rFonts w:ascii="Arial" w:hAnsi="Arial" w:eastAsia="Arial" w:cs="Arial"/>
                <w:b/>
                <w:bCs/>
                <w:color w:val="FFFFFF"/>
                <w:sz w:val="20"/>
                <w:szCs w:val="20"/>
              </w:rPr>
              <w:t>Description</w:t>
            </w:r>
          </w:p>
        </w:tc>
      </w:tr>
      <w:tr w14:paraId="6A91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12CB60">
            <w:r>
              <w:rPr>
                <w:rFonts w:ascii="Arial" w:hAnsi="Arial" w:eastAsia="Arial" w:cs="Arial"/>
                <w:sz w:val="20"/>
                <w:szCs w:val="20"/>
              </w:rPr>
              <w:t>Domestic Enterprise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3F38CF">
            <w:r>
              <w:rPr>
                <w:rFonts w:ascii="Arial" w:hAnsi="Arial" w:eastAsia="Arial" w:cs="Arial"/>
                <w:sz w:val="20"/>
                <w:szCs w:val="20"/>
              </w:rPr>
              <w:t>CENT</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69D8D7">
            <w:r>
              <w:rPr>
                <w:rFonts w:ascii="Arial" w:hAnsi="Arial" w:eastAsia="Arial" w:cs="Arial"/>
                <w:sz w:val="20"/>
                <w:szCs w:val="20"/>
              </w:rPr>
              <w:t>Indian B2B corporate clients</w:t>
            </w:r>
          </w:p>
        </w:tc>
      </w:tr>
      <w:tr w14:paraId="280A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1992457">
            <w:r>
              <w:rPr>
                <w:rFonts w:ascii="Arial" w:hAnsi="Arial" w:eastAsia="Arial" w:cs="Arial"/>
                <w:sz w:val="20"/>
                <w:szCs w:val="20"/>
              </w:rPr>
              <w:t>Export Client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58C43B8">
            <w:r>
              <w:rPr>
                <w:rFonts w:ascii="Arial" w:hAnsi="Arial" w:eastAsia="Arial" w:cs="Arial"/>
                <w:sz w:val="20"/>
                <w:szCs w:val="20"/>
              </w:rPr>
              <w:t>EXCU</w:t>
            </w:r>
          </w:p>
        </w:tc>
        <w:tc>
          <w:tcPr>
            <w:tcW w:w="5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45889FA">
            <w:r>
              <w:rPr>
                <w:rFonts w:ascii="Arial" w:hAnsi="Arial" w:eastAsia="Arial" w:cs="Arial"/>
                <w:sz w:val="20"/>
                <w:szCs w:val="20"/>
              </w:rPr>
              <w:t>International clients billed in USD/EUR</w:t>
            </w:r>
          </w:p>
        </w:tc>
      </w:tr>
      <w:tr w14:paraId="57EC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4F3A3C">
            <w:r>
              <w:rPr>
                <w:rFonts w:ascii="Arial" w:hAnsi="Arial" w:eastAsia="Arial" w:cs="Arial"/>
                <w:sz w:val="20"/>
                <w:szCs w:val="20"/>
              </w:rPr>
              <w:t>Government Client</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160BA1">
            <w:r>
              <w:rPr>
                <w:rFonts w:ascii="Arial" w:hAnsi="Arial" w:eastAsia="Arial" w:cs="Arial"/>
                <w:sz w:val="20"/>
                <w:szCs w:val="20"/>
              </w:rPr>
              <w:t>GOVC</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F3FC54">
            <w:r>
              <w:rPr>
                <w:rFonts w:ascii="Arial" w:hAnsi="Arial" w:eastAsia="Arial" w:cs="Arial"/>
                <w:sz w:val="20"/>
                <w:szCs w:val="20"/>
              </w:rPr>
              <w:t>Central/State Government IT contracts</w:t>
            </w:r>
          </w:p>
        </w:tc>
      </w:tr>
      <w:tr w14:paraId="04DC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E2FBB78">
            <w:r>
              <w:rPr>
                <w:rFonts w:ascii="Arial" w:hAnsi="Arial" w:eastAsia="Arial" w:cs="Arial"/>
                <w:sz w:val="20"/>
                <w:szCs w:val="20"/>
              </w:rPr>
              <w:t>One-Time Client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64DC215">
            <w:r>
              <w:rPr>
                <w:rFonts w:ascii="Arial" w:hAnsi="Arial" w:eastAsia="Arial" w:cs="Arial"/>
                <w:sz w:val="20"/>
                <w:szCs w:val="20"/>
              </w:rPr>
              <w:t>OTCU</w:t>
            </w:r>
          </w:p>
        </w:tc>
        <w:tc>
          <w:tcPr>
            <w:tcW w:w="5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0B0B9C5">
            <w:r>
              <w:rPr>
                <w:rFonts w:ascii="Arial" w:hAnsi="Arial" w:eastAsia="Arial" w:cs="Arial"/>
                <w:sz w:val="20"/>
                <w:szCs w:val="20"/>
              </w:rPr>
              <w:t>Short-term or one-off engagement clients</w:t>
            </w:r>
          </w:p>
        </w:tc>
      </w:tr>
    </w:tbl>
    <w:p w14:paraId="5A651293">
      <w:pPr>
        <w:pStyle w:val="3"/>
        <w:spacing w:before="280" w:after="120"/>
      </w:pPr>
      <w:r>
        <w:rPr>
          <w:rFonts w:ascii="Arial" w:hAnsi="Arial" w:eastAsia="Arial" w:cs="Arial"/>
          <w:b/>
          <w:bCs/>
          <w:color w:val="2E75B6"/>
          <w:sz w:val="26"/>
          <w:szCs w:val="26"/>
        </w:rPr>
        <w:t>5.8 Key SD Customization Steps</w:t>
      </w:r>
    </w:p>
    <w:p w14:paraId="246F6923">
      <w:pPr>
        <w:spacing w:before="160" w:after="60"/>
      </w:pPr>
      <w:r>
        <w:rPr>
          <w:rFonts w:ascii="Arial" w:hAnsi="Arial" w:eastAsia="Arial" w:cs="Arial"/>
          <w:b/>
          <w:bCs/>
          <w:color w:val="2E75B6"/>
          <w:sz w:val="22"/>
          <w:szCs w:val="22"/>
        </w:rPr>
        <w:t>Step 1: Define Sales Organization</w:t>
      </w:r>
    </w:p>
    <w:p w14:paraId="7B4F672A">
      <w:pPr>
        <w:pStyle w:val="17"/>
        <w:numPr>
          <w:ilvl w:val="0"/>
          <w:numId w:val="1"/>
        </w:numPr>
        <w:spacing w:before="40" w:after="40"/>
      </w:pPr>
      <w:r>
        <w:rPr>
          <w:rFonts w:ascii="Arial" w:hAnsi="Arial" w:eastAsia="Arial" w:cs="Arial"/>
          <w:sz w:val="20"/>
          <w:szCs w:val="20"/>
        </w:rPr>
        <w:t>Path: SPRO → Enterprise Structure → Definition → Sales &amp; Distribution → Define Sales Organization</w:t>
      </w:r>
    </w:p>
    <w:p w14:paraId="2A1C1F7B">
      <w:pPr>
        <w:pStyle w:val="17"/>
        <w:numPr>
          <w:ilvl w:val="0"/>
          <w:numId w:val="1"/>
        </w:numPr>
        <w:spacing w:before="40" w:after="40"/>
      </w:pPr>
      <w:r>
        <w:rPr>
          <w:rFonts w:ascii="Arial" w:hAnsi="Arial" w:eastAsia="Arial" w:cs="Arial"/>
          <w:sz w:val="20"/>
          <w:szCs w:val="20"/>
        </w:rPr>
        <w:t>Code: NX_SO | T-Code: OVX5</w:t>
      </w:r>
    </w:p>
    <w:p w14:paraId="07E5E5BC">
      <w:pPr>
        <w:spacing w:before="160" w:after="60"/>
      </w:pPr>
      <w:r>
        <w:rPr>
          <w:rFonts w:ascii="Arial" w:hAnsi="Arial" w:eastAsia="Arial" w:cs="Arial"/>
          <w:b/>
          <w:bCs/>
          <w:color w:val="2E75B6"/>
          <w:sz w:val="22"/>
          <w:szCs w:val="22"/>
        </w:rPr>
        <w:t>Step 2: Assign Sales Org to Company Code</w:t>
      </w:r>
    </w:p>
    <w:p w14:paraId="46E68876">
      <w:pPr>
        <w:pStyle w:val="17"/>
        <w:numPr>
          <w:ilvl w:val="0"/>
          <w:numId w:val="1"/>
        </w:numPr>
        <w:spacing w:before="40" w:after="40"/>
      </w:pPr>
      <w:r>
        <w:rPr>
          <w:rFonts w:ascii="Arial" w:hAnsi="Arial" w:eastAsia="Arial" w:cs="Arial"/>
          <w:sz w:val="20"/>
          <w:szCs w:val="20"/>
        </w:rPr>
        <w:t>Path: SPRO → Enterprise Structure → Assignment → SD → Assign Sales Organization to Company Code</w:t>
      </w:r>
    </w:p>
    <w:p w14:paraId="1D74B414">
      <w:pPr>
        <w:pStyle w:val="17"/>
        <w:numPr>
          <w:ilvl w:val="0"/>
          <w:numId w:val="1"/>
        </w:numPr>
        <w:spacing w:before="40" w:after="40"/>
      </w:pPr>
      <w:r>
        <w:rPr>
          <w:rFonts w:ascii="Arial" w:hAnsi="Arial" w:eastAsia="Arial" w:cs="Arial"/>
          <w:sz w:val="20"/>
          <w:szCs w:val="20"/>
        </w:rPr>
        <w:t>NX_SO → NXPL | T-Code: OVX3</w:t>
      </w:r>
    </w:p>
    <w:p w14:paraId="184C0FAE">
      <w:pPr>
        <w:spacing w:before="160" w:after="60"/>
      </w:pPr>
      <w:r>
        <w:rPr>
          <w:rFonts w:ascii="Arial" w:hAnsi="Arial" w:eastAsia="Arial" w:cs="Arial"/>
          <w:b/>
          <w:bCs/>
          <w:color w:val="2E75B6"/>
          <w:sz w:val="22"/>
          <w:szCs w:val="22"/>
        </w:rPr>
        <w:t>Step 3: Define Distribution Channels &amp; Assign to Sales Org</w:t>
      </w:r>
    </w:p>
    <w:p w14:paraId="6180509E">
      <w:pPr>
        <w:pStyle w:val="17"/>
        <w:numPr>
          <w:ilvl w:val="0"/>
          <w:numId w:val="1"/>
        </w:numPr>
        <w:spacing w:before="40" w:after="40"/>
      </w:pPr>
      <w:r>
        <w:rPr>
          <w:rFonts w:ascii="Arial" w:hAnsi="Arial" w:eastAsia="Arial" w:cs="Arial"/>
          <w:sz w:val="20"/>
          <w:szCs w:val="20"/>
        </w:rPr>
        <w:t>Path: SPRO → Enterprise Structure → Definition → SD → Define Distribution Channel</w:t>
      </w:r>
    </w:p>
    <w:p w14:paraId="665098B2">
      <w:pPr>
        <w:pStyle w:val="17"/>
        <w:numPr>
          <w:ilvl w:val="0"/>
          <w:numId w:val="1"/>
        </w:numPr>
        <w:spacing w:before="40" w:after="40"/>
      </w:pPr>
      <w:r>
        <w:rPr>
          <w:rFonts w:ascii="Arial" w:hAnsi="Arial" w:eastAsia="Arial" w:cs="Arial"/>
          <w:sz w:val="20"/>
          <w:szCs w:val="20"/>
        </w:rPr>
        <w:t>DI, PT, OF — T-Code: OVX1 | Assign to NX_SO — T-Code: OVX4</w:t>
      </w:r>
    </w:p>
    <w:p w14:paraId="10C5A97D">
      <w:pPr>
        <w:spacing w:before="160" w:after="60"/>
      </w:pPr>
      <w:r>
        <w:rPr>
          <w:rFonts w:ascii="Arial" w:hAnsi="Arial" w:eastAsia="Arial" w:cs="Arial"/>
          <w:b/>
          <w:bCs/>
          <w:color w:val="2E75B6"/>
          <w:sz w:val="22"/>
          <w:szCs w:val="22"/>
        </w:rPr>
        <w:t>Step 4: Define Divisions &amp; Assign to Sales Org</w:t>
      </w:r>
    </w:p>
    <w:p w14:paraId="466CC0D9">
      <w:pPr>
        <w:pStyle w:val="17"/>
        <w:numPr>
          <w:ilvl w:val="0"/>
          <w:numId w:val="1"/>
        </w:numPr>
        <w:spacing w:before="40" w:after="40"/>
      </w:pPr>
      <w:r>
        <w:rPr>
          <w:rFonts w:ascii="Arial" w:hAnsi="Arial" w:eastAsia="Arial" w:cs="Arial"/>
          <w:sz w:val="20"/>
          <w:szCs w:val="20"/>
        </w:rPr>
        <w:t>T-Code: OVX2 (Define) | T-Code: OVX5 (Assign to Sales Org)</w:t>
      </w:r>
    </w:p>
    <w:p w14:paraId="28076AA9">
      <w:pPr>
        <w:pStyle w:val="17"/>
        <w:numPr>
          <w:ilvl w:val="0"/>
          <w:numId w:val="1"/>
        </w:numPr>
        <w:spacing w:before="40" w:after="40"/>
      </w:pPr>
      <w:r>
        <w:rPr>
          <w:rFonts w:ascii="Arial" w:hAnsi="Arial" w:eastAsia="Arial" w:cs="Arial"/>
          <w:sz w:val="20"/>
          <w:szCs w:val="20"/>
        </w:rPr>
        <w:t>SW — Software Services | IN — Infrastructure Services | CS — Consulting Services</w:t>
      </w:r>
    </w:p>
    <w:p w14:paraId="44E3D29E">
      <w:pPr>
        <w:spacing w:before="160" w:after="60"/>
      </w:pPr>
      <w:r>
        <w:rPr>
          <w:rFonts w:ascii="Arial" w:hAnsi="Arial" w:eastAsia="Arial" w:cs="Arial"/>
          <w:b/>
          <w:bCs/>
          <w:color w:val="2E75B6"/>
          <w:sz w:val="22"/>
          <w:szCs w:val="22"/>
        </w:rPr>
        <w:t>Step 5: Set Up Sales Areas</w:t>
      </w:r>
    </w:p>
    <w:p w14:paraId="64940C3C">
      <w:pPr>
        <w:pStyle w:val="17"/>
        <w:numPr>
          <w:ilvl w:val="0"/>
          <w:numId w:val="1"/>
        </w:numPr>
        <w:spacing w:before="40" w:after="40"/>
      </w:pPr>
      <w:r>
        <w:rPr>
          <w:rFonts w:ascii="Arial" w:hAnsi="Arial" w:eastAsia="Arial" w:cs="Arial"/>
          <w:sz w:val="20"/>
          <w:szCs w:val="20"/>
        </w:rPr>
        <w:t>Path: SPRO → SD → Sales → Sales Documents → Define Sales Area</w:t>
      </w:r>
    </w:p>
    <w:p w14:paraId="50C36AAD">
      <w:pPr>
        <w:pStyle w:val="17"/>
        <w:numPr>
          <w:ilvl w:val="0"/>
          <w:numId w:val="1"/>
        </w:numPr>
        <w:spacing w:before="40" w:after="40"/>
      </w:pPr>
      <w:r>
        <w:rPr>
          <w:rFonts w:ascii="Arial" w:hAnsi="Arial" w:eastAsia="Arial" w:cs="Arial"/>
          <w:sz w:val="20"/>
          <w:szCs w:val="20"/>
        </w:rPr>
        <w:t>All five combinations of NX_SO + Channel + Division configured</w:t>
      </w:r>
    </w:p>
    <w:p w14:paraId="7763F2A5">
      <w:pPr>
        <w:spacing w:before="160" w:after="60"/>
      </w:pPr>
      <w:r>
        <w:rPr>
          <w:rFonts w:ascii="Arial" w:hAnsi="Arial" w:eastAsia="Arial" w:cs="Arial"/>
          <w:b/>
          <w:bCs/>
          <w:color w:val="2E75B6"/>
          <w:sz w:val="22"/>
          <w:szCs w:val="22"/>
        </w:rPr>
        <w:t>Step 6: Define Pricing Procedure</w:t>
      </w:r>
    </w:p>
    <w:p w14:paraId="62959AF0">
      <w:pPr>
        <w:pStyle w:val="17"/>
        <w:numPr>
          <w:ilvl w:val="0"/>
          <w:numId w:val="1"/>
        </w:numPr>
        <w:spacing w:before="40" w:after="40"/>
      </w:pPr>
      <w:r>
        <w:rPr>
          <w:rFonts w:ascii="Arial" w:hAnsi="Arial" w:eastAsia="Arial" w:cs="Arial"/>
          <w:sz w:val="20"/>
          <w:szCs w:val="20"/>
        </w:rPr>
        <w:t>Nexora uses a milestone-based billing pricing procedure for project contracts with GST compliance: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5960"/>
      </w:tblGrid>
      <w:tr w14:paraId="7F5D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32D1024">
            <w:pPr>
              <w:jc w:val="left"/>
            </w:pPr>
            <w:r>
              <w:rPr>
                <w:rFonts w:ascii="Arial" w:hAnsi="Arial" w:eastAsia="Arial" w:cs="Arial"/>
                <w:b/>
                <w:bCs/>
                <w:color w:val="FFFFFF"/>
                <w:sz w:val="20"/>
                <w:szCs w:val="20"/>
              </w:rPr>
              <w:t>Step</w:t>
            </w:r>
          </w:p>
        </w:tc>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956AB13">
            <w:pPr>
              <w:jc w:val="left"/>
            </w:pPr>
            <w:r>
              <w:rPr>
                <w:rFonts w:ascii="Arial" w:hAnsi="Arial" w:eastAsia="Arial" w:cs="Arial"/>
                <w:b/>
                <w:bCs/>
                <w:color w:val="FFFFFF"/>
                <w:sz w:val="20"/>
                <w:szCs w:val="20"/>
              </w:rPr>
              <w:t>Condition Type</w:t>
            </w:r>
          </w:p>
        </w:tc>
        <w:tc>
          <w:tcPr>
            <w:tcW w:w="59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9328BC0">
            <w:pPr>
              <w:jc w:val="left"/>
            </w:pPr>
            <w:r>
              <w:rPr>
                <w:rFonts w:ascii="Arial" w:hAnsi="Arial" w:eastAsia="Arial" w:cs="Arial"/>
                <w:b/>
                <w:bCs/>
                <w:color w:val="FFFFFF"/>
                <w:sz w:val="20"/>
                <w:szCs w:val="20"/>
              </w:rPr>
              <w:t>Description</w:t>
            </w:r>
          </w:p>
        </w:tc>
      </w:tr>
      <w:tr w14:paraId="1D14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30F4C6">
            <w:r>
              <w:rPr>
                <w:rFonts w:ascii="Arial" w:hAnsi="Arial" w:eastAsia="Arial" w:cs="Arial"/>
                <w:sz w:val="20"/>
                <w:szCs w:val="20"/>
              </w:rPr>
              <w:t>10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670F4B">
            <w:r>
              <w:rPr>
                <w:rFonts w:ascii="Arial" w:hAnsi="Arial" w:eastAsia="Arial" w:cs="Arial"/>
                <w:sz w:val="20"/>
                <w:szCs w:val="20"/>
              </w:rPr>
              <w:t>PR00</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062684">
            <w:r>
              <w:rPr>
                <w:rFonts w:ascii="Arial" w:hAnsi="Arial" w:eastAsia="Arial" w:cs="Arial"/>
                <w:sz w:val="20"/>
                <w:szCs w:val="20"/>
              </w:rPr>
              <w:t>Base Service Price / Milestone Value</w:t>
            </w:r>
          </w:p>
        </w:tc>
      </w:tr>
      <w:tr w14:paraId="55CA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74FE8D8">
            <w:r>
              <w:rPr>
                <w:rFonts w:ascii="Arial" w:hAnsi="Arial" w:eastAsia="Arial" w:cs="Arial"/>
                <w:sz w:val="20"/>
                <w:szCs w:val="20"/>
              </w:rPr>
              <w:t>20</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776E4DD">
            <w:r>
              <w:rPr>
                <w:rFonts w:ascii="Arial" w:hAnsi="Arial" w:eastAsia="Arial" w:cs="Arial"/>
                <w:sz w:val="20"/>
                <w:szCs w:val="20"/>
              </w:rPr>
              <w:t>ZD01</w:t>
            </w:r>
          </w:p>
        </w:tc>
        <w:tc>
          <w:tcPr>
            <w:tcW w:w="59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9FE63A8">
            <w:r>
              <w:rPr>
                <w:rFonts w:ascii="Arial" w:hAnsi="Arial" w:eastAsia="Arial" w:cs="Arial"/>
                <w:sz w:val="20"/>
                <w:szCs w:val="20"/>
              </w:rPr>
              <w:t>Volume / Long-term Contract Discount</w:t>
            </w:r>
          </w:p>
        </w:tc>
      </w:tr>
      <w:tr w14:paraId="08F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BA5AE6">
            <w:r>
              <w:rPr>
                <w:rFonts w:ascii="Arial" w:hAnsi="Arial" w:eastAsia="Arial" w:cs="Arial"/>
                <w:sz w:val="20"/>
                <w:szCs w:val="20"/>
              </w:rPr>
              <w:t>30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A0A9BB">
            <w:r>
              <w:rPr>
                <w:rFonts w:ascii="Arial" w:hAnsi="Arial" w:eastAsia="Arial" w:cs="Arial"/>
                <w:sz w:val="20"/>
                <w:szCs w:val="20"/>
              </w:rPr>
              <w:t>MWST</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9B0D71">
            <w:r>
              <w:rPr>
                <w:rFonts w:ascii="Arial" w:hAnsi="Arial" w:eastAsia="Arial" w:cs="Arial"/>
                <w:sz w:val="20"/>
                <w:szCs w:val="20"/>
              </w:rPr>
              <w:t>GST (18% for IT Services — IGST/CGST+SGST)</w:t>
            </w:r>
          </w:p>
        </w:tc>
      </w:tr>
      <w:tr w14:paraId="3E6A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C2A1D99">
            <w:r>
              <w:rPr>
                <w:rFonts w:ascii="Arial" w:hAnsi="Arial" w:eastAsia="Arial" w:cs="Arial"/>
                <w:sz w:val="20"/>
                <w:szCs w:val="20"/>
              </w:rPr>
              <w:t>40</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76BA5D6">
            <w:r>
              <w:rPr>
                <w:rFonts w:ascii="Arial" w:hAnsi="Arial" w:eastAsia="Arial" w:cs="Arial"/>
                <w:sz w:val="20"/>
                <w:szCs w:val="20"/>
              </w:rPr>
              <w:t>SKTO</w:t>
            </w:r>
          </w:p>
        </w:tc>
        <w:tc>
          <w:tcPr>
            <w:tcW w:w="59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594B313">
            <w:r>
              <w:rPr>
                <w:rFonts w:ascii="Arial" w:hAnsi="Arial" w:eastAsia="Arial" w:cs="Arial"/>
                <w:sz w:val="20"/>
                <w:szCs w:val="20"/>
              </w:rPr>
              <w:t>Early Payment Cash Discount</w:t>
            </w:r>
          </w:p>
        </w:tc>
      </w:tr>
      <w:tr w14:paraId="7119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073D9C">
            <w:r>
              <w:rPr>
                <w:rFonts w:ascii="Arial" w:hAnsi="Arial" w:eastAsia="Arial" w:cs="Arial"/>
                <w:sz w:val="20"/>
                <w:szCs w:val="20"/>
              </w:rPr>
              <w:t>50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9E364F">
            <w:r>
              <w:rPr>
                <w:rFonts w:ascii="Arial" w:hAnsi="Arial" w:eastAsia="Arial" w:cs="Arial"/>
                <w:sz w:val="20"/>
                <w:szCs w:val="20"/>
              </w:rPr>
              <w:t>NETWR</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91AFB4">
            <w:r>
              <w:rPr>
                <w:rFonts w:ascii="Arial" w:hAnsi="Arial" w:eastAsia="Arial" w:cs="Arial"/>
                <w:sz w:val="20"/>
                <w:szCs w:val="20"/>
              </w:rPr>
              <w:t>Net Invoice Value</w:t>
            </w:r>
          </w:p>
        </w:tc>
      </w:tr>
    </w:tbl>
    <w:p w14:paraId="41DA7979">
      <w:r>
        <w:br w:type="page"/>
      </w:r>
    </w:p>
    <w:p w14:paraId="23CC046D">
      <w:pPr>
        <w:pStyle w:val="2"/>
        <w:pBdr>
          <w:bottom w:val="single" w:color="2E75B6" w:sz="4" w:space="4"/>
        </w:pBdr>
        <w:spacing w:before="360" w:after="160"/>
      </w:pPr>
      <w:r>
        <w:rPr>
          <w:rFonts w:ascii="Arial" w:hAnsi="Arial" w:eastAsia="Arial" w:cs="Arial"/>
          <w:b/>
          <w:bCs/>
          <w:color w:val="1F4E79"/>
          <w:sz w:val="32"/>
          <w:szCs w:val="32"/>
        </w:rPr>
        <w:t>6. Integration Between FI, MM &amp; SD</w:t>
      </w:r>
    </w:p>
    <w:p w14:paraId="2D4019E9">
      <w:pPr>
        <w:pStyle w:val="3"/>
        <w:spacing w:before="280" w:after="120"/>
      </w:pPr>
      <w:r>
        <w:rPr>
          <w:rFonts w:ascii="Arial" w:hAnsi="Arial" w:eastAsia="Arial" w:cs="Arial"/>
          <w:b/>
          <w:bCs/>
          <w:color w:val="2E75B6"/>
          <w:sz w:val="26"/>
          <w:szCs w:val="26"/>
        </w:rPr>
        <w:t>6.1 Overview of Module Integration</w:t>
      </w:r>
    </w:p>
    <w:p w14:paraId="5380968C">
      <w:pPr>
        <w:spacing w:before="80" w:after="80"/>
      </w:pPr>
      <w:r>
        <w:rPr>
          <w:rFonts w:ascii="Arial" w:hAnsi="Arial" w:eastAsia="Arial" w:cs="Arial"/>
          <w:sz w:val="22"/>
          <w:szCs w:val="22"/>
        </w:rPr>
        <w:t>SAP's real-time integration between FI, MM, and SD is central to Nexora's operational efficiency. Every procurement event (hardware purchase, software subscription renewal) and every billing event (client invoice, milestone payment) automatically generates the corresponding financial accounting entry — eliminating manual reconciliation between project managers, procurement, and finance teams.</w:t>
      </w:r>
    </w:p>
    <w:p w14:paraId="7630D680">
      <w:pPr>
        <w:pStyle w:val="3"/>
        <w:spacing w:before="280" w:after="120"/>
      </w:pPr>
      <w:r>
        <w:rPr>
          <w:rFonts w:ascii="Arial" w:hAnsi="Arial" w:eastAsia="Arial" w:cs="Arial"/>
          <w:b/>
          <w:bCs/>
          <w:color w:val="2E75B6"/>
          <w:sz w:val="26"/>
          <w:szCs w:val="26"/>
        </w:rPr>
        <w:t>6.2 MM–FI Integration</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00"/>
        <w:gridCol w:w="1760"/>
      </w:tblGrid>
      <w:tr w14:paraId="3DAB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C4A5146">
            <w:pPr>
              <w:jc w:val="left"/>
            </w:pPr>
            <w:r>
              <w:rPr>
                <w:rFonts w:ascii="Arial" w:hAnsi="Arial" w:eastAsia="Arial" w:cs="Arial"/>
                <w:b/>
                <w:bCs/>
                <w:color w:val="FFFFFF"/>
                <w:sz w:val="20"/>
                <w:szCs w:val="20"/>
              </w:rPr>
              <w:t>MM Event</w:t>
            </w:r>
          </w:p>
        </w:tc>
        <w:tc>
          <w:tcPr>
            <w:tcW w:w="3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93F36BD">
            <w:pPr>
              <w:jc w:val="left"/>
            </w:pPr>
            <w:r>
              <w:rPr>
                <w:rFonts w:ascii="Arial" w:hAnsi="Arial" w:eastAsia="Arial" w:cs="Arial"/>
                <w:b/>
                <w:bCs/>
                <w:color w:val="FFFFFF"/>
                <w:sz w:val="20"/>
                <w:szCs w:val="20"/>
              </w:rPr>
              <w:t>FI Posting Generated</w:t>
            </w:r>
          </w:p>
        </w:tc>
        <w:tc>
          <w:tcPr>
            <w:tcW w:w="1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CA2DF90">
            <w:pPr>
              <w:jc w:val="left"/>
            </w:pPr>
            <w:r>
              <w:rPr>
                <w:rFonts w:ascii="Arial" w:hAnsi="Arial" w:eastAsia="Arial" w:cs="Arial"/>
                <w:b/>
                <w:bCs/>
                <w:color w:val="FFFFFF"/>
                <w:sz w:val="20"/>
                <w:szCs w:val="20"/>
              </w:rPr>
              <w:t>T-Code</w:t>
            </w:r>
          </w:p>
        </w:tc>
      </w:tr>
      <w:tr w14:paraId="46F6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3A8879">
            <w:r>
              <w:rPr>
                <w:rFonts w:ascii="Arial" w:hAnsi="Arial" w:eastAsia="Arial" w:cs="Arial"/>
                <w:sz w:val="20"/>
                <w:szCs w:val="20"/>
              </w:rPr>
              <w:t>Goods Receipt (Hardware)</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B9B407">
            <w:r>
              <w:rPr>
                <w:rFonts w:ascii="Arial" w:hAnsi="Arial" w:eastAsia="Arial" w:cs="Arial"/>
                <w:sz w:val="20"/>
                <w:szCs w:val="20"/>
              </w:rPr>
              <w:t>IT Asset Stock Dr, GR/IR Clearing Cr</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9181B0">
            <w:r>
              <w:rPr>
                <w:rFonts w:ascii="Arial" w:hAnsi="Arial" w:eastAsia="Arial" w:cs="Arial"/>
                <w:sz w:val="20"/>
                <w:szCs w:val="20"/>
              </w:rPr>
              <w:t>MIGO</w:t>
            </w:r>
          </w:p>
        </w:tc>
      </w:tr>
      <w:tr w14:paraId="2D4C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1BF4C4B">
            <w:r>
              <w:rPr>
                <w:rFonts w:ascii="Arial" w:hAnsi="Arial" w:eastAsia="Arial" w:cs="Arial"/>
                <w:sz w:val="20"/>
                <w:szCs w:val="20"/>
              </w:rPr>
              <w:t>Service Entry Sheet (SES)</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7A0F999">
            <w:r>
              <w:rPr>
                <w:rFonts w:ascii="Arial" w:hAnsi="Arial" w:eastAsia="Arial" w:cs="Arial"/>
                <w:sz w:val="20"/>
                <w:szCs w:val="20"/>
              </w:rPr>
              <w:t>Service Expense Dr, GR/IR Clearing Cr</w:t>
            </w:r>
          </w:p>
        </w:tc>
        <w:tc>
          <w:tcPr>
            <w:tcW w:w="1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446B348">
            <w:r>
              <w:rPr>
                <w:rFonts w:ascii="Arial" w:hAnsi="Arial" w:eastAsia="Arial" w:cs="Arial"/>
                <w:sz w:val="20"/>
                <w:szCs w:val="20"/>
              </w:rPr>
              <w:t>ML81N</w:t>
            </w:r>
          </w:p>
        </w:tc>
      </w:tr>
      <w:tr w14:paraId="14B1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A9C657">
            <w:r>
              <w:rPr>
                <w:rFonts w:ascii="Arial" w:hAnsi="Arial" w:eastAsia="Arial" w:cs="Arial"/>
                <w:sz w:val="20"/>
                <w:szCs w:val="20"/>
              </w:rPr>
              <w:t>Invoice Verification (LIV)</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4390DD">
            <w:r>
              <w:rPr>
                <w:rFonts w:ascii="Arial" w:hAnsi="Arial" w:eastAsia="Arial" w:cs="Arial"/>
                <w:sz w:val="20"/>
                <w:szCs w:val="20"/>
              </w:rPr>
              <w:t>GR/IR Clearing Dr, Vendor Payable Cr</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691634">
            <w:r>
              <w:rPr>
                <w:rFonts w:ascii="Arial" w:hAnsi="Arial" w:eastAsia="Arial" w:cs="Arial"/>
                <w:sz w:val="20"/>
                <w:szCs w:val="20"/>
              </w:rPr>
              <w:t>MIRO</w:t>
            </w:r>
          </w:p>
        </w:tc>
      </w:tr>
      <w:tr w14:paraId="58C0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F83EBA7">
            <w:r>
              <w:rPr>
                <w:rFonts w:ascii="Arial" w:hAnsi="Arial" w:eastAsia="Arial" w:cs="Arial"/>
                <w:sz w:val="20"/>
                <w:szCs w:val="20"/>
              </w:rPr>
              <w:t>Vendor Payment</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756EABD">
            <w:r>
              <w:rPr>
                <w:rFonts w:ascii="Arial" w:hAnsi="Arial" w:eastAsia="Arial" w:cs="Arial"/>
                <w:sz w:val="20"/>
                <w:szCs w:val="20"/>
              </w:rPr>
              <w:t>Vendor Payable Dr, Bank Account Cr</w:t>
            </w:r>
          </w:p>
        </w:tc>
        <w:tc>
          <w:tcPr>
            <w:tcW w:w="1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F4F8FEA">
            <w:r>
              <w:rPr>
                <w:rFonts w:ascii="Arial" w:hAnsi="Arial" w:eastAsia="Arial" w:cs="Arial"/>
                <w:sz w:val="20"/>
                <w:szCs w:val="20"/>
              </w:rPr>
              <w:t>F110</w:t>
            </w:r>
          </w:p>
        </w:tc>
      </w:tr>
      <w:tr w14:paraId="4627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CB3E7A">
            <w:r>
              <w:rPr>
                <w:rFonts w:ascii="Arial" w:hAnsi="Arial" w:eastAsia="Arial" w:cs="Arial"/>
                <w:sz w:val="20"/>
                <w:szCs w:val="20"/>
              </w:rPr>
              <w:t>Asset Capitalisation (EQUI)</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C58B9E">
            <w:r>
              <w:rPr>
                <w:rFonts w:ascii="Arial" w:hAnsi="Arial" w:eastAsia="Arial" w:cs="Arial"/>
                <w:sz w:val="20"/>
                <w:szCs w:val="20"/>
              </w:rPr>
              <w:t>Fixed Asset Dr, GR/IR Clearing Cr</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ECB58A6">
            <w:r>
              <w:rPr>
                <w:rFonts w:ascii="Arial" w:hAnsi="Arial" w:eastAsia="Arial" w:cs="Arial"/>
                <w:sz w:val="20"/>
                <w:szCs w:val="20"/>
              </w:rPr>
              <w:t>MIGO + AS01</w:t>
            </w:r>
          </w:p>
        </w:tc>
      </w:tr>
    </w:tbl>
    <w:p w14:paraId="078246CF">
      <w:pPr>
        <w:pStyle w:val="3"/>
        <w:spacing w:before="280" w:after="120"/>
      </w:pPr>
      <w:r>
        <w:rPr>
          <w:rFonts w:ascii="Arial" w:hAnsi="Arial" w:eastAsia="Arial" w:cs="Arial"/>
          <w:b/>
          <w:bCs/>
          <w:color w:val="2E75B6"/>
          <w:sz w:val="26"/>
          <w:szCs w:val="26"/>
        </w:rPr>
        <w:t>6.3 SD–FI Integration</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00"/>
        <w:gridCol w:w="1760"/>
      </w:tblGrid>
      <w:tr w14:paraId="1D20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596D2A9">
            <w:pPr>
              <w:jc w:val="left"/>
            </w:pPr>
            <w:r>
              <w:rPr>
                <w:rFonts w:ascii="Arial" w:hAnsi="Arial" w:eastAsia="Arial" w:cs="Arial"/>
                <w:b/>
                <w:bCs/>
                <w:color w:val="FFFFFF"/>
                <w:sz w:val="20"/>
                <w:szCs w:val="20"/>
              </w:rPr>
              <w:t>SD Event</w:t>
            </w:r>
          </w:p>
        </w:tc>
        <w:tc>
          <w:tcPr>
            <w:tcW w:w="3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49CF6E4">
            <w:pPr>
              <w:jc w:val="left"/>
            </w:pPr>
            <w:r>
              <w:rPr>
                <w:rFonts w:ascii="Arial" w:hAnsi="Arial" w:eastAsia="Arial" w:cs="Arial"/>
                <w:b/>
                <w:bCs/>
                <w:color w:val="FFFFFF"/>
                <w:sz w:val="20"/>
                <w:szCs w:val="20"/>
              </w:rPr>
              <w:t>FI Posting Generated</w:t>
            </w:r>
          </w:p>
        </w:tc>
        <w:tc>
          <w:tcPr>
            <w:tcW w:w="1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EB64283">
            <w:pPr>
              <w:jc w:val="left"/>
            </w:pPr>
            <w:r>
              <w:rPr>
                <w:rFonts w:ascii="Arial" w:hAnsi="Arial" w:eastAsia="Arial" w:cs="Arial"/>
                <w:b/>
                <w:bCs/>
                <w:color w:val="FFFFFF"/>
                <w:sz w:val="20"/>
                <w:szCs w:val="20"/>
              </w:rPr>
              <w:t>T-Code</w:t>
            </w:r>
          </w:p>
        </w:tc>
      </w:tr>
      <w:tr w14:paraId="3B93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7CD481">
            <w:r>
              <w:rPr>
                <w:rFonts w:ascii="Arial" w:hAnsi="Arial" w:eastAsia="Arial" w:cs="Arial"/>
                <w:sz w:val="20"/>
                <w:szCs w:val="20"/>
              </w:rPr>
              <w:t>Milestone Billing / Invoice</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C5A31B4">
            <w:r>
              <w:rPr>
                <w:rFonts w:ascii="Arial" w:hAnsi="Arial" w:eastAsia="Arial" w:cs="Arial"/>
                <w:sz w:val="20"/>
                <w:szCs w:val="20"/>
              </w:rPr>
              <w:t>Client Receivable Dr, Revenue Cr</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B6585C">
            <w:r>
              <w:rPr>
                <w:rFonts w:ascii="Arial" w:hAnsi="Arial" w:eastAsia="Arial" w:cs="Arial"/>
                <w:sz w:val="20"/>
                <w:szCs w:val="20"/>
              </w:rPr>
              <w:t>VF01</w:t>
            </w:r>
          </w:p>
        </w:tc>
      </w:tr>
      <w:tr w14:paraId="2D67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D5590EF">
            <w:r>
              <w:rPr>
                <w:rFonts w:ascii="Arial" w:hAnsi="Arial" w:eastAsia="Arial" w:cs="Arial"/>
                <w:sz w:val="20"/>
                <w:szCs w:val="20"/>
              </w:rPr>
              <w:t>Client Payment Receipt</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4D07C94">
            <w:r>
              <w:rPr>
                <w:rFonts w:ascii="Arial" w:hAnsi="Arial" w:eastAsia="Arial" w:cs="Arial"/>
                <w:sz w:val="20"/>
                <w:szCs w:val="20"/>
              </w:rPr>
              <w:t>Bank Dr, Client Receivable Cr</w:t>
            </w:r>
          </w:p>
        </w:tc>
        <w:tc>
          <w:tcPr>
            <w:tcW w:w="1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A6A5149">
            <w:r>
              <w:rPr>
                <w:rFonts w:ascii="Arial" w:hAnsi="Arial" w:eastAsia="Arial" w:cs="Arial"/>
                <w:sz w:val="20"/>
                <w:szCs w:val="20"/>
              </w:rPr>
              <w:t>F-28</w:t>
            </w:r>
          </w:p>
        </w:tc>
      </w:tr>
      <w:tr w14:paraId="2A80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6CD225">
            <w:r>
              <w:rPr>
                <w:rFonts w:ascii="Arial" w:hAnsi="Arial" w:eastAsia="Arial" w:cs="Arial"/>
                <w:sz w:val="20"/>
                <w:szCs w:val="20"/>
              </w:rPr>
              <w:t>Credit Memo (SLA Penalty)</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9D8128">
            <w:r>
              <w:rPr>
                <w:rFonts w:ascii="Arial" w:hAnsi="Arial" w:eastAsia="Arial" w:cs="Arial"/>
                <w:sz w:val="20"/>
                <w:szCs w:val="20"/>
              </w:rPr>
              <w:t>Revenue Dr, Client Receivable Cr</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DF2B16">
            <w:r>
              <w:rPr>
                <w:rFonts w:ascii="Arial" w:hAnsi="Arial" w:eastAsia="Arial" w:cs="Arial"/>
                <w:sz w:val="20"/>
                <w:szCs w:val="20"/>
              </w:rPr>
              <w:t>VF01 (Credit)</w:t>
            </w:r>
          </w:p>
        </w:tc>
      </w:tr>
      <w:tr w14:paraId="1367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0E06794">
            <w:r>
              <w:rPr>
                <w:rFonts w:ascii="Arial" w:hAnsi="Arial" w:eastAsia="Arial" w:cs="Arial"/>
                <w:sz w:val="20"/>
                <w:szCs w:val="20"/>
              </w:rPr>
              <w:t>Down Payment (Advance)</w:t>
            </w:r>
          </w:p>
        </w:tc>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CB98369">
            <w:r>
              <w:rPr>
                <w:rFonts w:ascii="Arial" w:hAnsi="Arial" w:eastAsia="Arial" w:cs="Arial"/>
                <w:sz w:val="20"/>
                <w:szCs w:val="20"/>
              </w:rPr>
              <w:t>Bank Dr, Advance Liability Cr</w:t>
            </w:r>
          </w:p>
        </w:tc>
        <w:tc>
          <w:tcPr>
            <w:tcW w:w="1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34AD3A0">
            <w:r>
              <w:rPr>
                <w:rFonts w:ascii="Arial" w:hAnsi="Arial" w:eastAsia="Arial" w:cs="Arial"/>
                <w:sz w:val="20"/>
                <w:szCs w:val="20"/>
              </w:rPr>
              <w:t>F-29</w:t>
            </w:r>
          </w:p>
        </w:tc>
      </w:tr>
    </w:tbl>
    <w:p w14:paraId="336D5882">
      <w:pPr>
        <w:pStyle w:val="3"/>
        <w:spacing w:before="280" w:after="120"/>
      </w:pPr>
      <w:r>
        <w:rPr>
          <w:rFonts w:ascii="Arial" w:hAnsi="Arial" w:eastAsia="Arial" w:cs="Arial"/>
          <w:b/>
          <w:bCs/>
          <w:color w:val="2E75B6"/>
          <w:sz w:val="26"/>
          <w:szCs w:val="26"/>
        </w:rPr>
        <w:t>6.4 MM–SD Integration</w:t>
      </w:r>
    </w:p>
    <w:p w14:paraId="6534AF7B">
      <w:pPr>
        <w:spacing w:before="80" w:after="80"/>
      </w:pPr>
      <w:r>
        <w:rPr>
          <w:rFonts w:ascii="Arial" w:hAnsi="Arial" w:eastAsia="Arial" w:cs="Arial"/>
          <w:sz w:val="22"/>
          <w:szCs w:val="22"/>
        </w:rPr>
        <w:t>When a Sales Order for hardware supply is created (VA01), the system checks IT asset inventory at the assigned plant (MM availability check). Upon delivery (VL01N), a goods issue reduces the IT Asset Store inventory. This simultaneously triggers a COGS entry in FI, ensuring the P&amp;L accurately reflects the cost of hardware delivered to the client — without any manual journal entries.</w:t>
      </w:r>
    </w:p>
    <w:p w14:paraId="401EB4EA">
      <w:r>
        <w:br w:type="page"/>
      </w:r>
    </w:p>
    <w:p w14:paraId="1F9AB94F">
      <w:pPr>
        <w:pStyle w:val="2"/>
        <w:pBdr>
          <w:bottom w:val="single" w:color="2E75B6" w:sz="4" w:space="4"/>
        </w:pBdr>
        <w:spacing w:before="360" w:after="160"/>
      </w:pPr>
      <w:r>
        <w:rPr>
          <w:rFonts w:ascii="Arial" w:hAnsi="Arial" w:eastAsia="Arial" w:cs="Arial"/>
          <w:b/>
          <w:bCs/>
          <w:color w:val="1F4E79"/>
          <w:sz w:val="32"/>
          <w:szCs w:val="32"/>
        </w:rPr>
        <w:t>7. Tech Stack &amp; Tools</w:t>
      </w:r>
    </w:p>
    <w:p w14:paraId="09ACF052">
      <w:pPr>
        <w:pStyle w:val="3"/>
        <w:spacing w:before="280" w:after="120"/>
      </w:pPr>
      <w:r>
        <w:rPr>
          <w:rFonts w:ascii="Arial" w:hAnsi="Arial" w:eastAsia="Arial" w:cs="Arial"/>
          <w:b/>
          <w:bCs/>
          <w:color w:val="2E75B6"/>
          <w:sz w:val="26"/>
          <w:szCs w:val="26"/>
        </w:rPr>
        <w:t>7.1 SAP Components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3C21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508653D0">
            <w:pPr>
              <w:jc w:val="left"/>
            </w:pPr>
            <w:r>
              <w:rPr>
                <w:rFonts w:ascii="Arial" w:hAnsi="Arial" w:eastAsia="Arial" w:cs="Arial"/>
                <w:b/>
                <w:bCs/>
                <w:color w:val="FFFFFF"/>
                <w:sz w:val="20"/>
                <w:szCs w:val="20"/>
              </w:rPr>
              <w:t>Component</w:t>
            </w:r>
          </w:p>
        </w:tc>
        <w:tc>
          <w:tcPr>
            <w:tcW w:w="5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AA9D7FF">
            <w:pPr>
              <w:jc w:val="left"/>
            </w:pPr>
            <w:r>
              <w:rPr>
                <w:rFonts w:ascii="Arial" w:hAnsi="Arial" w:eastAsia="Arial" w:cs="Arial"/>
                <w:b/>
                <w:bCs/>
                <w:color w:val="FFFFFF"/>
                <w:sz w:val="20"/>
                <w:szCs w:val="20"/>
              </w:rPr>
              <w:t>Purpose</w:t>
            </w:r>
          </w:p>
        </w:tc>
      </w:tr>
      <w:tr w14:paraId="5D5B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84BE37">
            <w:r>
              <w:rPr>
                <w:rFonts w:ascii="Arial" w:hAnsi="Arial" w:eastAsia="Arial" w:cs="Arial"/>
                <w:sz w:val="20"/>
                <w:szCs w:val="20"/>
              </w:rPr>
              <w:t>SAP ECC 6.0 / S/4HANA</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DE3B7D">
            <w:r>
              <w:rPr>
                <w:rFonts w:ascii="Arial" w:hAnsi="Arial" w:eastAsia="Arial" w:cs="Arial"/>
                <w:sz w:val="20"/>
                <w:szCs w:val="20"/>
              </w:rPr>
              <w:t>Core ERP platform for all configurations</w:t>
            </w:r>
          </w:p>
        </w:tc>
      </w:tr>
      <w:tr w14:paraId="24B1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822DF4C">
            <w:r>
              <w:rPr>
                <w:rFonts w:ascii="Arial" w:hAnsi="Arial" w:eastAsia="Arial" w:cs="Arial"/>
                <w:sz w:val="20"/>
                <w:szCs w:val="20"/>
              </w:rPr>
              <w:t>SAP FI (Financial Accounting)</w:t>
            </w:r>
          </w:p>
        </w:tc>
        <w:tc>
          <w:tcPr>
            <w:tcW w:w="5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DA685E7">
            <w:r>
              <w:rPr>
                <w:rFonts w:ascii="Arial" w:hAnsi="Arial" w:eastAsia="Arial" w:cs="Arial"/>
                <w:sz w:val="20"/>
                <w:szCs w:val="20"/>
              </w:rPr>
              <w:t>General Ledger, AP, AR, Asset Accounting</w:t>
            </w:r>
          </w:p>
        </w:tc>
      </w:tr>
      <w:tr w14:paraId="0C00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6CD02F">
            <w:r>
              <w:rPr>
                <w:rFonts w:ascii="Arial" w:hAnsi="Arial" w:eastAsia="Arial" w:cs="Arial"/>
                <w:sz w:val="20"/>
                <w:szCs w:val="20"/>
              </w:rPr>
              <w:t>SAP CO (Controlling)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DBE260">
            <w:r>
              <w:rPr>
                <w:rFonts w:ascii="Arial" w:hAnsi="Arial" w:eastAsia="Arial" w:cs="Arial"/>
                <w:sz w:val="20"/>
                <w:szCs w:val="20"/>
              </w:rPr>
              <w:t>Cost Centre (by project/BU) &amp; Profit Centre Accounting</w:t>
            </w:r>
          </w:p>
        </w:tc>
      </w:tr>
      <w:tr w14:paraId="3E66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3F4B9EF">
            <w:r>
              <w:rPr>
                <w:rFonts w:ascii="Arial" w:hAnsi="Arial" w:eastAsia="Arial" w:cs="Arial"/>
                <w:sz w:val="20"/>
                <w:szCs w:val="20"/>
              </w:rPr>
              <w:t>SAP MM (Materials Management)</w:t>
            </w:r>
          </w:p>
        </w:tc>
        <w:tc>
          <w:tcPr>
            <w:tcW w:w="5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6609A62">
            <w:r>
              <w:rPr>
                <w:rFonts w:ascii="Arial" w:hAnsi="Arial" w:eastAsia="Arial" w:cs="Arial"/>
                <w:sz w:val="20"/>
                <w:szCs w:val="20"/>
              </w:rPr>
              <w:t>IT Procurement, Asset Inventory, Vendor Management</w:t>
            </w:r>
          </w:p>
        </w:tc>
      </w:tr>
      <w:tr w14:paraId="3E28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B26B55">
            <w:r>
              <w:rPr>
                <w:rFonts w:ascii="Arial" w:hAnsi="Arial" w:eastAsia="Arial" w:cs="Arial"/>
                <w:sz w:val="20"/>
                <w:szCs w:val="20"/>
              </w:rPr>
              <w:t>SAP SD (Sales &amp; Distribution)</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94C3E4">
            <w:r>
              <w:rPr>
                <w:rFonts w:ascii="Arial" w:hAnsi="Arial" w:eastAsia="Arial" w:cs="Arial"/>
                <w:sz w:val="20"/>
                <w:szCs w:val="20"/>
              </w:rPr>
              <w:t>Client Contracts, Milestone Billing, Order-to-Cash</w:t>
            </w:r>
          </w:p>
        </w:tc>
      </w:tr>
      <w:tr w14:paraId="29DF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646D60D">
            <w:r>
              <w:rPr>
                <w:rFonts w:ascii="Arial" w:hAnsi="Arial" w:eastAsia="Arial" w:cs="Arial"/>
                <w:sz w:val="20"/>
                <w:szCs w:val="20"/>
              </w:rPr>
              <w:t>SAP PS (Project System)</w:t>
            </w:r>
          </w:p>
        </w:tc>
        <w:tc>
          <w:tcPr>
            <w:tcW w:w="5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BC817CC">
            <w:r>
              <w:rPr>
                <w:rFonts w:ascii="Arial" w:hAnsi="Arial" w:eastAsia="Arial" w:cs="Arial"/>
                <w:sz w:val="20"/>
                <w:szCs w:val="20"/>
              </w:rPr>
              <w:t>Integration layer for project-based revenue recognition</w:t>
            </w:r>
          </w:p>
        </w:tc>
      </w:tr>
      <w:tr w14:paraId="71ED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53A1F9">
            <w:r>
              <w:rPr>
                <w:rFonts w:ascii="Arial" w:hAnsi="Arial" w:eastAsia="Arial" w:cs="Arial"/>
                <w:sz w:val="20"/>
                <w:szCs w:val="20"/>
              </w:rPr>
              <w:t>SAP SPRO (IMG)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B6E6B9">
            <w:r>
              <w:rPr>
                <w:rFonts w:ascii="Arial" w:hAnsi="Arial" w:eastAsia="Arial" w:cs="Arial"/>
                <w:sz w:val="20"/>
                <w:szCs w:val="20"/>
              </w:rPr>
              <w:t>SAP Project Reference Object — configuration tool</w:t>
            </w:r>
          </w:p>
        </w:tc>
      </w:tr>
      <w:tr w14:paraId="7290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491F21C">
            <w:r>
              <w:rPr>
                <w:rFonts w:ascii="Arial" w:hAnsi="Arial" w:eastAsia="Arial" w:cs="Arial"/>
                <w:sz w:val="20"/>
                <w:szCs w:val="20"/>
              </w:rPr>
              <w:t>SAP GUI / Fiori</w:t>
            </w:r>
          </w:p>
        </w:tc>
        <w:tc>
          <w:tcPr>
            <w:tcW w:w="57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B688101">
            <w:r>
              <w:rPr>
                <w:rFonts w:ascii="Arial" w:hAnsi="Arial" w:eastAsia="Arial" w:cs="Arial"/>
                <w:sz w:val="20"/>
                <w:szCs w:val="20"/>
              </w:rPr>
              <w:t>Front-end interface for SAP transactions</w:t>
            </w:r>
          </w:p>
        </w:tc>
      </w:tr>
    </w:tbl>
    <w:p w14:paraId="0FF04E5A">
      <w:pPr>
        <w:pStyle w:val="3"/>
        <w:spacing w:before="280" w:after="120"/>
      </w:pPr>
      <w:r>
        <w:rPr>
          <w:rFonts w:ascii="Arial" w:hAnsi="Arial" w:eastAsia="Arial" w:cs="Arial"/>
          <w:b/>
          <w:bCs/>
          <w:color w:val="2E75B6"/>
          <w:sz w:val="26"/>
          <w:szCs w:val="26"/>
        </w:rPr>
        <w:t>7.2 Key Transaction Codes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6560"/>
      </w:tblGrid>
      <w:tr w14:paraId="17B5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46F70C7">
            <w:pPr>
              <w:jc w:val="left"/>
            </w:pPr>
            <w:r>
              <w:rPr>
                <w:rFonts w:ascii="Arial" w:hAnsi="Arial" w:eastAsia="Arial" w:cs="Arial"/>
                <w:b/>
                <w:bCs/>
                <w:color w:val="FFFFFF"/>
                <w:sz w:val="20"/>
                <w:szCs w:val="20"/>
              </w:rPr>
              <w:t>T-Code</w:t>
            </w:r>
          </w:p>
        </w:tc>
        <w:tc>
          <w:tcPr>
            <w:tcW w:w="1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7E53FFAE">
            <w:pPr>
              <w:jc w:val="left"/>
            </w:pPr>
            <w:r>
              <w:rPr>
                <w:rFonts w:ascii="Arial" w:hAnsi="Arial" w:eastAsia="Arial" w:cs="Arial"/>
                <w:b/>
                <w:bCs/>
                <w:color w:val="FFFFFF"/>
                <w:sz w:val="20"/>
                <w:szCs w:val="20"/>
              </w:rPr>
              <w:t>Module</w:t>
            </w:r>
          </w:p>
        </w:tc>
        <w:tc>
          <w:tcPr>
            <w:tcW w:w="65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DD8FD0D">
            <w:pPr>
              <w:jc w:val="left"/>
            </w:pPr>
            <w:r>
              <w:rPr>
                <w:rFonts w:ascii="Arial" w:hAnsi="Arial" w:eastAsia="Arial" w:cs="Arial"/>
                <w:b/>
                <w:bCs/>
                <w:color w:val="FFFFFF"/>
                <w:sz w:val="20"/>
                <w:szCs w:val="20"/>
              </w:rPr>
              <w:t>Purpose</w:t>
            </w:r>
          </w:p>
        </w:tc>
      </w:tr>
      <w:tr w14:paraId="6B0A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71BD8C">
            <w:r>
              <w:rPr>
                <w:rFonts w:ascii="Arial" w:hAnsi="Arial" w:eastAsia="Arial" w:cs="Arial"/>
                <w:sz w:val="20"/>
                <w:szCs w:val="20"/>
              </w:rPr>
              <w:t>OX02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E3CBCE">
            <w:r>
              <w:rPr>
                <w:rFonts w:ascii="Arial" w:hAnsi="Arial" w:eastAsia="Arial" w:cs="Arial"/>
                <w:sz w:val="20"/>
                <w:szCs w:val="20"/>
              </w:rPr>
              <w:t>FI</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2A515D">
            <w:r>
              <w:rPr>
                <w:rFonts w:ascii="Arial" w:hAnsi="Arial" w:eastAsia="Arial" w:cs="Arial"/>
                <w:sz w:val="20"/>
                <w:szCs w:val="20"/>
              </w:rPr>
              <w:t>Define Company Code</w:t>
            </w:r>
          </w:p>
        </w:tc>
      </w:tr>
      <w:tr w14:paraId="33F7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BBB54BD">
            <w:r>
              <w:rPr>
                <w:rFonts w:ascii="Arial" w:hAnsi="Arial" w:eastAsia="Arial" w:cs="Arial"/>
                <w:sz w:val="20"/>
                <w:szCs w:val="20"/>
              </w:rPr>
              <w:t>OB29</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C9CF7B7">
            <w:r>
              <w:rPr>
                <w:rFonts w:ascii="Arial" w:hAnsi="Arial" w:eastAsia="Arial" w:cs="Arial"/>
                <w:sz w:val="20"/>
                <w:szCs w:val="20"/>
              </w:rPr>
              <w:t>FI</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9976718">
            <w:r>
              <w:rPr>
                <w:rFonts w:ascii="Arial" w:hAnsi="Arial" w:eastAsia="Arial" w:cs="Arial"/>
                <w:sz w:val="20"/>
                <w:szCs w:val="20"/>
              </w:rPr>
              <w:t>Maintain Fiscal Year Variant</w:t>
            </w:r>
          </w:p>
        </w:tc>
      </w:tr>
      <w:tr w14:paraId="5D15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95EDE7">
            <w:r>
              <w:rPr>
                <w:rFonts w:ascii="Arial" w:hAnsi="Arial" w:eastAsia="Arial" w:cs="Arial"/>
                <w:sz w:val="20"/>
                <w:szCs w:val="20"/>
              </w:rPr>
              <w:t>OB62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9C086B">
            <w:r>
              <w:rPr>
                <w:rFonts w:ascii="Arial" w:hAnsi="Arial" w:eastAsia="Arial" w:cs="Arial"/>
                <w:sz w:val="20"/>
                <w:szCs w:val="20"/>
              </w:rPr>
              <w:t>FI</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D07C92">
            <w:r>
              <w:rPr>
                <w:rFonts w:ascii="Arial" w:hAnsi="Arial" w:eastAsia="Arial" w:cs="Arial"/>
                <w:sz w:val="20"/>
                <w:szCs w:val="20"/>
              </w:rPr>
              <w:t>Assign COA to Company Code</w:t>
            </w:r>
          </w:p>
        </w:tc>
      </w:tr>
      <w:tr w14:paraId="4305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CEAE586">
            <w:r>
              <w:rPr>
                <w:rFonts w:ascii="Arial" w:hAnsi="Arial" w:eastAsia="Arial" w:cs="Arial"/>
                <w:sz w:val="20"/>
                <w:szCs w:val="20"/>
              </w:rPr>
              <w:t>OB37</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C3C51E5">
            <w:r>
              <w:rPr>
                <w:rFonts w:ascii="Arial" w:hAnsi="Arial" w:eastAsia="Arial" w:cs="Arial"/>
                <w:sz w:val="20"/>
                <w:szCs w:val="20"/>
              </w:rPr>
              <w:t>FI</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B7E0250">
            <w:r>
              <w:rPr>
                <w:rFonts w:ascii="Arial" w:hAnsi="Arial" w:eastAsia="Arial" w:cs="Arial"/>
                <w:sz w:val="20"/>
                <w:szCs w:val="20"/>
              </w:rPr>
              <w:t>Assign Fiscal Year Variant to Company Code</w:t>
            </w:r>
          </w:p>
        </w:tc>
      </w:tr>
      <w:tr w14:paraId="02A6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EF1910">
            <w:r>
              <w:rPr>
                <w:rFonts w:ascii="Arial" w:hAnsi="Arial" w:eastAsia="Arial" w:cs="Arial"/>
                <w:sz w:val="20"/>
                <w:szCs w:val="20"/>
              </w:rPr>
              <w:t>OX10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F4622B">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C65054">
            <w:r>
              <w:rPr>
                <w:rFonts w:ascii="Arial" w:hAnsi="Arial" w:eastAsia="Arial" w:cs="Arial"/>
                <w:sz w:val="20"/>
                <w:szCs w:val="20"/>
              </w:rPr>
              <w:t>Define Plant</w:t>
            </w:r>
          </w:p>
        </w:tc>
      </w:tr>
      <w:tr w14:paraId="7C95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5622CC4">
            <w:r>
              <w:rPr>
                <w:rFonts w:ascii="Arial" w:hAnsi="Arial" w:eastAsia="Arial" w:cs="Arial"/>
                <w:sz w:val="20"/>
                <w:szCs w:val="20"/>
              </w:rPr>
              <w:t>OX09</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C607710">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C0584AB">
            <w:r>
              <w:rPr>
                <w:rFonts w:ascii="Arial" w:hAnsi="Arial" w:eastAsia="Arial" w:cs="Arial"/>
                <w:sz w:val="20"/>
                <w:szCs w:val="20"/>
              </w:rPr>
              <w:t>Define Storage Locations</w:t>
            </w:r>
          </w:p>
        </w:tc>
      </w:tr>
      <w:tr w14:paraId="5422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7DE6B4">
            <w:r>
              <w:rPr>
                <w:rFonts w:ascii="Arial" w:hAnsi="Arial" w:eastAsia="Arial" w:cs="Arial"/>
                <w:sz w:val="20"/>
                <w:szCs w:val="20"/>
              </w:rPr>
              <w:t>OX08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771676">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C5A2D4">
            <w:r>
              <w:rPr>
                <w:rFonts w:ascii="Arial" w:hAnsi="Arial" w:eastAsia="Arial" w:cs="Arial"/>
                <w:sz w:val="20"/>
                <w:szCs w:val="20"/>
              </w:rPr>
              <w:t>Define Purchase Organization</w:t>
            </w:r>
          </w:p>
        </w:tc>
      </w:tr>
      <w:tr w14:paraId="1984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2EF0F59">
            <w:r>
              <w:rPr>
                <w:rFonts w:ascii="Arial" w:hAnsi="Arial" w:eastAsia="Arial" w:cs="Arial"/>
                <w:sz w:val="20"/>
                <w:szCs w:val="20"/>
              </w:rPr>
              <w:t>OX18</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1909A5D">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1773B2ED">
            <w:r>
              <w:rPr>
                <w:rFonts w:ascii="Arial" w:hAnsi="Arial" w:eastAsia="Arial" w:cs="Arial"/>
                <w:sz w:val="20"/>
                <w:szCs w:val="20"/>
              </w:rPr>
              <w:t>Assign Plant to Company Code</w:t>
            </w:r>
          </w:p>
        </w:tc>
      </w:tr>
      <w:tr w14:paraId="5C84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799297">
            <w:r>
              <w:rPr>
                <w:rFonts w:ascii="Arial" w:hAnsi="Arial" w:eastAsia="Arial" w:cs="Arial"/>
                <w:sz w:val="20"/>
                <w:szCs w:val="20"/>
              </w:rPr>
              <w:t>OVX5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0353CD">
            <w:r>
              <w:rPr>
                <w:rFonts w:ascii="Arial" w:hAnsi="Arial" w:eastAsia="Arial" w:cs="Arial"/>
                <w:sz w:val="20"/>
                <w:szCs w:val="20"/>
              </w:rPr>
              <w:t>SD</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4926CA">
            <w:r>
              <w:rPr>
                <w:rFonts w:ascii="Arial" w:hAnsi="Arial" w:eastAsia="Arial" w:cs="Arial"/>
                <w:sz w:val="20"/>
                <w:szCs w:val="20"/>
              </w:rPr>
              <w:t>Define Sales Organization</w:t>
            </w:r>
          </w:p>
        </w:tc>
      </w:tr>
      <w:tr w14:paraId="3BEC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8AAEE4C">
            <w:r>
              <w:rPr>
                <w:rFonts w:ascii="Arial" w:hAnsi="Arial" w:eastAsia="Arial" w:cs="Arial"/>
                <w:sz w:val="20"/>
                <w:szCs w:val="20"/>
              </w:rPr>
              <w:t>OVX1</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A317DA8">
            <w:r>
              <w:rPr>
                <w:rFonts w:ascii="Arial" w:hAnsi="Arial" w:eastAsia="Arial" w:cs="Arial"/>
                <w:sz w:val="20"/>
                <w:szCs w:val="20"/>
              </w:rPr>
              <w:t>SD</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7C4A547">
            <w:r>
              <w:rPr>
                <w:rFonts w:ascii="Arial" w:hAnsi="Arial" w:eastAsia="Arial" w:cs="Arial"/>
                <w:sz w:val="20"/>
                <w:szCs w:val="20"/>
              </w:rPr>
              <w:t>Define Distribution Channel</w:t>
            </w:r>
          </w:p>
        </w:tc>
      </w:tr>
      <w:tr w14:paraId="6CEA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A802C9">
            <w:r>
              <w:rPr>
                <w:rFonts w:ascii="Arial" w:hAnsi="Arial" w:eastAsia="Arial" w:cs="Arial"/>
                <w:sz w:val="20"/>
                <w:szCs w:val="20"/>
              </w:rPr>
              <w:t>OVX2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362E6C">
            <w:r>
              <w:rPr>
                <w:rFonts w:ascii="Arial" w:hAnsi="Arial" w:eastAsia="Arial" w:cs="Arial"/>
                <w:sz w:val="20"/>
                <w:szCs w:val="20"/>
              </w:rPr>
              <w:t>SD</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F8F4BF">
            <w:r>
              <w:rPr>
                <w:rFonts w:ascii="Arial" w:hAnsi="Arial" w:eastAsia="Arial" w:cs="Arial"/>
                <w:sz w:val="20"/>
                <w:szCs w:val="20"/>
              </w:rPr>
              <w:t>Define Division</w:t>
            </w:r>
          </w:p>
        </w:tc>
      </w:tr>
      <w:tr w14:paraId="397A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9E17ADA">
            <w:r>
              <w:rPr>
                <w:rFonts w:ascii="Arial" w:hAnsi="Arial" w:eastAsia="Arial" w:cs="Arial"/>
                <w:sz w:val="20"/>
                <w:szCs w:val="20"/>
              </w:rPr>
              <w:t>ME21N</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6991C72">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35A263C">
            <w:r>
              <w:rPr>
                <w:rFonts w:ascii="Arial" w:hAnsi="Arial" w:eastAsia="Arial" w:cs="Arial"/>
                <w:sz w:val="20"/>
                <w:szCs w:val="20"/>
              </w:rPr>
              <w:t>Create Purchase Order</w:t>
            </w:r>
          </w:p>
        </w:tc>
      </w:tr>
      <w:tr w14:paraId="001A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7433CE">
            <w:r>
              <w:rPr>
                <w:rFonts w:ascii="Arial" w:hAnsi="Arial" w:eastAsia="Arial" w:cs="Arial"/>
                <w:sz w:val="20"/>
                <w:szCs w:val="20"/>
              </w:rPr>
              <w:t>MIGO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5EBB5C">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48B7BD">
            <w:r>
              <w:rPr>
                <w:rFonts w:ascii="Arial" w:hAnsi="Arial" w:eastAsia="Arial" w:cs="Arial"/>
                <w:sz w:val="20"/>
                <w:szCs w:val="20"/>
              </w:rPr>
              <w:t>Goods Receipt</w:t>
            </w:r>
          </w:p>
        </w:tc>
      </w:tr>
      <w:tr w14:paraId="2DC6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1837EAD">
            <w:r>
              <w:rPr>
                <w:rFonts w:ascii="Arial" w:hAnsi="Arial" w:eastAsia="Arial" w:cs="Arial"/>
                <w:sz w:val="20"/>
                <w:szCs w:val="20"/>
              </w:rPr>
              <w:t>ML81N</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5FE83B3">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2851D552">
            <w:r>
              <w:rPr>
                <w:rFonts w:ascii="Arial" w:hAnsi="Arial" w:eastAsia="Arial" w:cs="Arial"/>
                <w:sz w:val="20"/>
                <w:szCs w:val="20"/>
              </w:rPr>
              <w:t>Service Entry Sheet</w:t>
            </w:r>
          </w:p>
        </w:tc>
      </w:tr>
      <w:tr w14:paraId="6B0F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C2DBBB">
            <w:r>
              <w:rPr>
                <w:rFonts w:ascii="Arial" w:hAnsi="Arial" w:eastAsia="Arial" w:cs="Arial"/>
                <w:sz w:val="20"/>
                <w:szCs w:val="20"/>
              </w:rPr>
              <w:t>MIRO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9C6048">
            <w:r>
              <w:rPr>
                <w:rFonts w:ascii="Arial" w:hAnsi="Arial" w:eastAsia="Arial" w:cs="Arial"/>
                <w:sz w:val="20"/>
                <w:szCs w:val="20"/>
              </w:rPr>
              <w:t>MM</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ADFA15">
            <w:r>
              <w:rPr>
                <w:rFonts w:ascii="Arial" w:hAnsi="Arial" w:eastAsia="Arial" w:cs="Arial"/>
                <w:sz w:val="20"/>
                <w:szCs w:val="20"/>
              </w:rPr>
              <w:t>Invoice Verification (Logistics)</w:t>
            </w:r>
          </w:p>
        </w:tc>
      </w:tr>
      <w:tr w14:paraId="2FE0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0D05A1EB">
            <w:r>
              <w:rPr>
                <w:rFonts w:ascii="Arial" w:hAnsi="Arial" w:eastAsia="Arial" w:cs="Arial"/>
                <w:sz w:val="20"/>
                <w:szCs w:val="20"/>
              </w:rPr>
              <w:t>VA01</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6704FC84">
            <w:r>
              <w:rPr>
                <w:rFonts w:ascii="Arial" w:hAnsi="Arial" w:eastAsia="Arial" w:cs="Arial"/>
                <w:sz w:val="20"/>
                <w:szCs w:val="20"/>
              </w:rPr>
              <w:t>SD</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EE12998">
            <w:r>
              <w:rPr>
                <w:rFonts w:ascii="Arial" w:hAnsi="Arial" w:eastAsia="Arial" w:cs="Arial"/>
                <w:sz w:val="20"/>
                <w:szCs w:val="20"/>
              </w:rPr>
              <w:t>Create Sales Order</w:t>
            </w:r>
          </w:p>
        </w:tc>
      </w:tr>
      <w:tr w14:paraId="487C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A8FE67">
            <w:r>
              <w:rPr>
                <w:rFonts w:ascii="Arial" w:hAnsi="Arial" w:eastAsia="Arial" w:cs="Arial"/>
                <w:sz w:val="20"/>
                <w:szCs w:val="20"/>
              </w:rPr>
              <w:t>VF01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D0CF94">
            <w:r>
              <w:rPr>
                <w:rFonts w:ascii="Arial" w:hAnsi="Arial" w:eastAsia="Arial" w:cs="Arial"/>
                <w:sz w:val="20"/>
                <w:szCs w:val="20"/>
              </w:rPr>
              <w:t>SD</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BDCBF0">
            <w:r>
              <w:rPr>
                <w:rFonts w:ascii="Arial" w:hAnsi="Arial" w:eastAsia="Arial" w:cs="Arial"/>
                <w:sz w:val="20"/>
                <w:szCs w:val="20"/>
              </w:rPr>
              <w:t>Create Billing / Milestone Invoice</w:t>
            </w:r>
          </w:p>
        </w:tc>
      </w:tr>
      <w:tr w14:paraId="09E5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5A5965D4">
            <w:r>
              <w:rPr>
                <w:rFonts w:ascii="Arial" w:hAnsi="Arial" w:eastAsia="Arial" w:cs="Arial"/>
                <w:sz w:val="20"/>
                <w:szCs w:val="20"/>
              </w:rPr>
              <w:t>F110</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40776BE5">
            <w:r>
              <w:rPr>
                <w:rFonts w:ascii="Arial" w:hAnsi="Arial" w:eastAsia="Arial" w:cs="Arial"/>
                <w:sz w:val="20"/>
                <w:szCs w:val="20"/>
              </w:rPr>
              <w:t>FI</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05909E0">
            <w:r>
              <w:rPr>
                <w:rFonts w:ascii="Arial" w:hAnsi="Arial" w:eastAsia="Arial" w:cs="Arial"/>
                <w:sz w:val="20"/>
                <w:szCs w:val="20"/>
              </w:rPr>
              <w:t>Automatic Payment Run</w:t>
            </w:r>
          </w:p>
        </w:tc>
      </w:tr>
      <w:tr w14:paraId="042E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F955FC">
            <w:r>
              <w:rPr>
                <w:rFonts w:ascii="Arial" w:hAnsi="Arial" w:eastAsia="Arial" w:cs="Arial"/>
                <w:sz w:val="20"/>
                <w:szCs w:val="20"/>
              </w:rPr>
              <w:t>F-28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F6C52C">
            <w:r>
              <w:rPr>
                <w:rFonts w:ascii="Arial" w:hAnsi="Arial" w:eastAsia="Arial" w:cs="Arial"/>
                <w:sz w:val="20"/>
                <w:szCs w:val="20"/>
              </w:rPr>
              <w:t>FI</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5AC91F">
            <w:r>
              <w:rPr>
                <w:rFonts w:ascii="Arial" w:hAnsi="Arial" w:eastAsia="Arial" w:cs="Arial"/>
                <w:sz w:val="20"/>
                <w:szCs w:val="20"/>
              </w:rPr>
              <w:t>Customer Payment Posting</w:t>
            </w:r>
          </w:p>
        </w:tc>
      </w:tr>
      <w:tr w14:paraId="529C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D59A3DC">
            <w:r>
              <w:rPr>
                <w:rFonts w:ascii="Arial" w:hAnsi="Arial" w:eastAsia="Arial" w:cs="Arial"/>
                <w:sz w:val="20"/>
                <w:szCs w:val="20"/>
              </w:rPr>
              <w:t>AS01</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704F3178">
            <w:r>
              <w:rPr>
                <w:rFonts w:ascii="Arial" w:hAnsi="Arial" w:eastAsia="Arial" w:cs="Arial"/>
                <w:sz w:val="20"/>
                <w:szCs w:val="20"/>
              </w:rPr>
              <w:t>FI-AA</w:t>
            </w:r>
          </w:p>
        </w:tc>
        <w:tc>
          <w:tcPr>
            <w:tcW w:w="65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center"/>
          </w:tcPr>
          <w:p w14:paraId="3E2FB2EF">
            <w:r>
              <w:rPr>
                <w:rFonts w:ascii="Arial" w:hAnsi="Arial" w:eastAsia="Arial" w:cs="Arial"/>
                <w:sz w:val="20"/>
                <w:szCs w:val="20"/>
              </w:rPr>
              <w:t>Create Asset Master Record</w:t>
            </w:r>
          </w:p>
        </w:tc>
      </w:tr>
    </w:tbl>
    <w:p w14:paraId="4DE1B38F">
      <w:r>
        <w:br w:type="page"/>
      </w:r>
    </w:p>
    <w:p w14:paraId="2D3DB439">
      <w:pPr>
        <w:pStyle w:val="2"/>
        <w:pBdr>
          <w:bottom w:val="single" w:color="2E75B6" w:sz="4" w:space="4"/>
        </w:pBdr>
        <w:spacing w:before="360" w:after="160"/>
      </w:pPr>
      <w:r>
        <w:rPr>
          <w:rFonts w:ascii="Arial" w:hAnsi="Arial" w:eastAsia="Arial" w:cs="Arial"/>
          <w:b/>
          <w:bCs/>
          <w:color w:val="1F4E79"/>
          <w:sz w:val="32"/>
          <w:szCs w:val="32"/>
        </w:rPr>
        <w:t>8. Unique Points &amp; Highlights</w:t>
      </w:r>
    </w:p>
    <w:p w14:paraId="678F7C48">
      <w:pPr>
        <w:pStyle w:val="3"/>
        <w:spacing w:before="280" w:after="120"/>
      </w:pPr>
      <w:r>
        <w:rPr>
          <w:rFonts w:ascii="Arial" w:hAnsi="Arial" w:eastAsia="Arial" w:cs="Arial"/>
          <w:b/>
          <w:bCs/>
          <w:color w:val="2E75B6"/>
          <w:sz w:val="26"/>
          <w:szCs w:val="26"/>
        </w:rPr>
        <w:t>8.1 What Makes This Blueprint Distinctive</w:t>
      </w:r>
    </w:p>
    <w:p w14:paraId="2D46BBE8">
      <w:pPr>
        <w:pStyle w:val="17"/>
        <w:numPr>
          <w:ilvl w:val="0"/>
          <w:numId w:val="1"/>
        </w:numPr>
        <w:spacing w:before="80" w:after="80"/>
      </w:pPr>
      <w:r>
        <w:rPr>
          <w:rFonts w:ascii="Arial" w:hAnsi="Arial" w:eastAsia="Arial" w:cs="Arial"/>
          <w:sz w:val="22"/>
          <w:szCs w:val="22"/>
        </w:rPr>
        <w:t>Designed specifically for an Indian IT Services company — most SAP blueprints target manufacturing. This blueprint reflects IT-sector realities: service-based revenue, non-physical "goods", milestone billing, and GST at 18% for services.</w:t>
      </w:r>
    </w:p>
    <w:p w14:paraId="102E655C">
      <w:pPr>
        <w:pStyle w:val="17"/>
        <w:numPr>
          <w:ilvl w:val="0"/>
          <w:numId w:val="1"/>
        </w:numPr>
        <w:spacing w:before="80" w:after="80"/>
      </w:pPr>
      <w:r>
        <w:rPr>
          <w:rFonts w:ascii="Arial" w:hAnsi="Arial" w:eastAsia="Arial" w:cs="Arial"/>
          <w:sz w:val="22"/>
          <w:szCs w:val="22"/>
        </w:rPr>
        <w:t>Three distinct service divisions (Software, Infrastructure, Consulting) with separate Sales Areas allow independent pricing strategies, revenue reporting, and profitability analysis per practice.</w:t>
      </w:r>
    </w:p>
    <w:p w14:paraId="49343252">
      <w:pPr>
        <w:pStyle w:val="17"/>
        <w:numPr>
          <w:ilvl w:val="0"/>
          <w:numId w:val="1"/>
        </w:numPr>
        <w:spacing w:before="80" w:after="80"/>
      </w:pPr>
      <w:r>
        <w:rPr>
          <w:rFonts w:ascii="Arial" w:hAnsi="Arial" w:eastAsia="Arial" w:cs="Arial"/>
          <w:sz w:val="22"/>
          <w:szCs w:val="22"/>
        </w:rPr>
        <w:t>IT-specific material types (ZITW for hardware, ZSWL for software licenses) are custom-configured to handle the dual nature of IT procurement: physical assets and intangible licenses.</w:t>
      </w:r>
    </w:p>
    <w:p w14:paraId="626E3C11">
      <w:pPr>
        <w:pStyle w:val="17"/>
        <w:numPr>
          <w:ilvl w:val="0"/>
          <w:numId w:val="1"/>
        </w:numPr>
        <w:spacing w:before="80" w:after="80"/>
      </w:pPr>
      <w:r>
        <w:rPr>
          <w:rFonts w:ascii="Arial" w:hAnsi="Arial" w:eastAsia="Arial" w:cs="Arial"/>
          <w:sz w:val="22"/>
          <w:szCs w:val="22"/>
        </w:rPr>
        <w:t>Service Entry Sheet (ML81N) integration enables SAP to track and validate subcontracting services receipt — critical for IT companies using third-party developers and managed service providers.</w:t>
      </w:r>
    </w:p>
    <w:p w14:paraId="7F99D4F6">
      <w:pPr>
        <w:pStyle w:val="17"/>
        <w:numPr>
          <w:ilvl w:val="0"/>
          <w:numId w:val="1"/>
        </w:numPr>
        <w:spacing w:before="80" w:after="80"/>
      </w:pPr>
      <w:r>
        <w:rPr>
          <w:rFonts w:ascii="Arial" w:hAnsi="Arial" w:eastAsia="Arial" w:cs="Arial"/>
          <w:sz w:val="22"/>
          <w:szCs w:val="22"/>
        </w:rPr>
        <w:t>Full integration map between FI, MM, and SD with IT-specific transaction scenarios (milestone billing, advance payments, SLA credit memos) provides a complete audit trail for every client engagement.</w:t>
      </w:r>
    </w:p>
    <w:p w14:paraId="7F9851B8">
      <w:pPr>
        <w:pStyle w:val="17"/>
        <w:numPr>
          <w:ilvl w:val="0"/>
          <w:numId w:val="1"/>
        </w:numPr>
        <w:spacing w:before="80" w:after="80"/>
      </w:pPr>
      <w:r>
        <w:rPr>
          <w:rFonts w:ascii="Arial" w:hAnsi="Arial" w:eastAsia="Arial" w:cs="Arial"/>
          <w:sz w:val="22"/>
          <w:szCs w:val="22"/>
        </w:rPr>
        <w:t>Indian Fiscal Year (April–March) and GST-compliant pricing procedure configured for both direct client billing and partner channel transactions.</w:t>
      </w:r>
    </w:p>
    <w:p w14:paraId="5AE961ED">
      <w:r>
        <w:br w:type="page"/>
      </w:r>
    </w:p>
    <w:p w14:paraId="16F9A38C">
      <w:pPr>
        <w:pStyle w:val="2"/>
        <w:pBdr>
          <w:bottom w:val="single" w:color="2E75B6" w:sz="4" w:space="4"/>
        </w:pBdr>
        <w:spacing w:before="360" w:after="160"/>
      </w:pPr>
      <w:r>
        <w:rPr>
          <w:rFonts w:ascii="Arial" w:hAnsi="Arial" w:eastAsia="Arial" w:cs="Arial"/>
          <w:b/>
          <w:bCs/>
          <w:color w:val="1F4E79"/>
          <w:sz w:val="32"/>
          <w:szCs w:val="32"/>
        </w:rPr>
        <w:t>9. Future Improvements</w:t>
      </w:r>
    </w:p>
    <w:p w14:paraId="5DEBC142">
      <w:pPr>
        <w:pStyle w:val="3"/>
        <w:spacing w:before="280" w:after="120"/>
      </w:pPr>
      <w:r>
        <w:rPr>
          <w:rFonts w:ascii="Arial" w:hAnsi="Arial" w:eastAsia="Arial" w:cs="Arial"/>
          <w:b/>
          <w:bCs/>
          <w:color w:val="2E75B6"/>
          <w:sz w:val="26"/>
          <w:szCs w:val="26"/>
        </w:rPr>
        <w:t>9.1 Planned Enhancements</w:t>
      </w:r>
    </w:p>
    <w:p w14:paraId="404F5346">
      <w:pPr>
        <w:pStyle w:val="17"/>
        <w:numPr>
          <w:ilvl w:val="0"/>
          <w:numId w:val="1"/>
        </w:numPr>
        <w:spacing w:before="80" w:after="80"/>
      </w:pPr>
      <w:r>
        <w:rPr>
          <w:rFonts w:ascii="Arial" w:hAnsi="Arial" w:eastAsia="Arial" w:cs="Arial"/>
          <w:sz w:val="22"/>
          <w:szCs w:val="22"/>
        </w:rPr>
        <w:t>SAP PS (Project System) Integration: Extend the blueprint to include Work Breakdown Structure (WBS), Network Activities, and project-level cost/revenue recognition — essential for fixed-price and T&amp;M project billing.</w:t>
      </w:r>
    </w:p>
    <w:p w14:paraId="7FB93DE8">
      <w:pPr>
        <w:pStyle w:val="17"/>
        <w:numPr>
          <w:ilvl w:val="0"/>
          <w:numId w:val="1"/>
        </w:numPr>
        <w:spacing w:before="80" w:after="80"/>
      </w:pPr>
      <w:r>
        <w:rPr>
          <w:rFonts w:ascii="Arial" w:hAnsi="Arial" w:eastAsia="Arial" w:cs="Arial"/>
          <w:sz w:val="22"/>
          <w:szCs w:val="22"/>
        </w:rPr>
        <w:t>SAP HR/HCM Module: Add Hire-to-Retire configuration covering Personnel Area, Personnel Subarea, Employee Groups, and Payroll integration with FI — especially important for an IT company where people costs dominate.</w:t>
      </w:r>
    </w:p>
    <w:p w14:paraId="3D261218">
      <w:pPr>
        <w:pStyle w:val="17"/>
        <w:numPr>
          <w:ilvl w:val="0"/>
          <w:numId w:val="1"/>
        </w:numPr>
        <w:spacing w:before="80" w:after="80"/>
      </w:pPr>
      <w:r>
        <w:rPr>
          <w:rFonts w:ascii="Arial" w:hAnsi="Arial" w:eastAsia="Arial" w:cs="Arial"/>
          <w:sz w:val="22"/>
          <w:szCs w:val="22"/>
        </w:rPr>
        <w:t>SAP S/4HANA Migration: Migrate the ECC 6.0 blueprint to S/4HANA, leveraging the Universal Journal (ACDOCA), simplified asset accounting, Fiori apps for mobile approvals, and embedded analytics for real-time dashboards.</w:t>
      </w:r>
    </w:p>
    <w:p w14:paraId="512F4D90">
      <w:pPr>
        <w:pStyle w:val="17"/>
        <w:numPr>
          <w:ilvl w:val="0"/>
          <w:numId w:val="1"/>
        </w:numPr>
        <w:spacing w:before="80" w:after="80"/>
      </w:pPr>
      <w:r>
        <w:rPr>
          <w:rFonts w:ascii="Arial" w:hAnsi="Arial" w:eastAsia="Arial" w:cs="Arial"/>
          <w:sz w:val="22"/>
          <w:szCs w:val="22"/>
        </w:rPr>
        <w:t>GST Configuration: Implement full GST tax procedure (TAXINN) with SAC codes for IT services, e-invoicing (IRN/QR) integration with the GSTN portal, and automated GSTR-1/GSTR-3B report generation.</w:t>
      </w:r>
    </w:p>
    <w:p w14:paraId="0923AB66">
      <w:pPr>
        <w:pStyle w:val="17"/>
        <w:numPr>
          <w:ilvl w:val="0"/>
          <w:numId w:val="1"/>
        </w:numPr>
        <w:spacing w:before="80" w:after="80"/>
      </w:pPr>
      <w:r>
        <w:rPr>
          <w:rFonts w:ascii="Arial" w:hAnsi="Arial" w:eastAsia="Arial" w:cs="Arial"/>
          <w:sz w:val="22"/>
          <w:szCs w:val="22"/>
        </w:rPr>
        <w:t>SAP Business Partner (BP): Transition from legacy vendor/customer master records to unified Business Partner model — mandatory for S/4HANA and enabling single-record management for clients who are also vendors.</w:t>
      </w:r>
    </w:p>
    <w:p w14:paraId="560B1BC4">
      <w:pPr>
        <w:pStyle w:val="17"/>
        <w:numPr>
          <w:ilvl w:val="0"/>
          <w:numId w:val="1"/>
        </w:numPr>
        <w:spacing w:before="80" w:after="80"/>
      </w:pPr>
      <w:r>
        <w:rPr>
          <w:rFonts w:ascii="Arial" w:hAnsi="Arial" w:eastAsia="Arial" w:cs="Arial"/>
          <w:sz w:val="22"/>
          <w:szCs w:val="22"/>
        </w:rPr>
        <w:t>Automated Testing &amp; Solution Documentation: Develop end-to-end test scripts using SAP Solution Manager for all configured business processes, covering IT asset procurement, service entry, milestone billing, and payment cycles.</w:t>
      </w:r>
    </w:p>
    <w:p w14:paraId="20263C6B">
      <w:r>
        <w:br w:type="page"/>
      </w:r>
    </w:p>
    <w:p w14:paraId="277080EB">
      <w:pPr>
        <w:pStyle w:val="2"/>
        <w:pBdr>
          <w:bottom w:val="single" w:color="2E75B6" w:sz="4" w:space="4"/>
        </w:pBdr>
        <w:spacing w:before="360" w:after="160"/>
      </w:pPr>
      <w:r>
        <w:rPr>
          <w:rFonts w:ascii="Arial" w:hAnsi="Arial" w:eastAsia="Arial" w:cs="Arial"/>
          <w:b/>
          <w:bCs/>
          <w:color w:val="1F4E79"/>
          <w:sz w:val="32"/>
          <w:szCs w:val="32"/>
        </w:rPr>
        <w:t>10. Conclusion</w:t>
      </w:r>
    </w:p>
    <w:p w14:paraId="4C764295">
      <w:pPr>
        <w:spacing w:before="80" w:after="80"/>
      </w:pPr>
      <w:r>
        <w:rPr>
          <w:rFonts w:ascii="Arial" w:hAnsi="Arial" w:eastAsia="Arial" w:cs="Arial"/>
          <w:sz w:val="22"/>
          <w:szCs w:val="22"/>
        </w:rPr>
        <w:t>This blueprint document presents a comprehensive SAP configuration design for Nexora IT Services Pvt. Ltd., covering the three core functional areas of Financial Accounting (FI), Materials Management (MM), and Sales &amp; Distribution (SD). The organizational structures, customization steps, and integration points documented here provide a complete reference for implementing SAP at a mid-sized Indian IT services enterprise.</w:t>
      </w:r>
    </w:p>
    <w:p w14:paraId="0F507CB2"/>
    <w:p w14:paraId="76C07C1F">
      <w:pPr>
        <w:spacing w:before="80" w:after="80"/>
      </w:pPr>
      <w:r>
        <w:rPr>
          <w:rFonts w:ascii="Arial" w:hAnsi="Arial" w:eastAsia="Arial" w:cs="Arial"/>
          <w:sz w:val="22"/>
          <w:szCs w:val="22"/>
        </w:rPr>
        <w:t>The configuration follows SAP best practices while being tailored to the specific operational model of an IT services company: service-based revenue recognition, milestone billing, IT asset and software license procurement, subcontracting management, and compliance with Indian statutory requirements including the April–March fiscal year and GST at 18% for IT services.</w:t>
      </w:r>
    </w:p>
    <w:p w14:paraId="1C9DF26D"/>
    <w:p w14:paraId="09D1AE22">
      <w:pPr>
        <w:spacing w:before="80" w:after="80"/>
      </w:pPr>
      <w:r>
        <w:rPr>
          <w:rFonts w:ascii="Arial" w:hAnsi="Arial" w:eastAsia="Arial" w:cs="Arial"/>
          <w:sz w:val="22"/>
          <w:szCs w:val="22"/>
        </w:rPr>
        <w:t>The integration between FI, MM, and SD ensures that every procurement event, service delivery, and client billing transaction is automatically reflected in the financial books — eliminating manual reconciliation and providing real-time visibility into project profitability and company financial position.</w:t>
      </w:r>
    </w:p>
    <w:p w14:paraId="2D8067D1"/>
    <w:p w14:paraId="338E5ECB">
      <w:pPr>
        <w:spacing w:before="80" w:after="80"/>
      </w:pPr>
      <w:r>
        <w:rPr>
          <w:rFonts w:ascii="Arial" w:hAnsi="Arial" w:eastAsia="Arial" w:cs="Arial"/>
          <w:sz w:val="22"/>
          <w:szCs w:val="22"/>
        </w:rPr>
        <w:t>This project demonstrates a thorough understanding of SAP enterprise structure design, module configuration principles, and cross-module integration in the context of an IT services business — forming a solid foundation for further extension into SAP PS, HR/HCM, and S/4HANA capabilities.</w:t>
      </w:r>
    </w:p>
    <w:p w14:paraId="2A0B641F"/>
    <w:p w14:paraId="2DEA35E4"/>
    <w:p w14:paraId="4B1729BF">
      <w:pPr>
        <w:pBdr>
          <w:top w:val="single" w:color="2E75B6" w:sz="4" w:space="6"/>
        </w:pBdr>
        <w:spacing w:before="200" w:after="200"/>
        <w:jc w:val="center"/>
      </w:pPr>
      <w:r>
        <w:rPr>
          <w:rFonts w:ascii="Arial" w:hAnsi="Arial" w:eastAsia="Arial" w:cs="Arial"/>
          <w:b/>
          <w:bCs/>
          <w:color w:val="2E75B6"/>
          <w:sz w:val="24"/>
          <w:szCs w:val="24"/>
        </w:rPr>
        <w:t>— End of Document —</w:t>
      </w:r>
    </w:p>
    <w:p w14:paraId="02976AB2"/>
    <w:p w14:paraId="4F77BB16">
      <w:pPr>
        <w:jc w:val="center"/>
        <w:rPr>
          <w:rFonts w:hint="default"/>
          <w:lang w:val="en-US"/>
        </w:rPr>
      </w:pPr>
      <w:r>
        <w:rPr>
          <w:rFonts w:ascii="Arial" w:hAnsi="Arial" w:eastAsia="Arial" w:cs="Arial"/>
          <w:color w:val="595959"/>
          <w:sz w:val="22"/>
          <w:szCs w:val="22"/>
        </w:rPr>
        <w:t xml:space="preserve">Submitted by: </w:t>
      </w:r>
      <w:r>
        <w:rPr>
          <w:rFonts w:hint="default" w:cs="Arial"/>
          <w:color w:val="595959"/>
          <w:sz w:val="22"/>
          <w:szCs w:val="22"/>
          <w:lang w:val="en-US"/>
        </w:rPr>
        <w:t>ARYAN AMITANSHU SAHU</w:t>
      </w:r>
      <w:r>
        <w:rPr>
          <w:rFonts w:ascii="Arial" w:hAnsi="Arial" w:eastAsia="Arial" w:cs="Arial"/>
          <w:color w:val="595959"/>
          <w:sz w:val="22"/>
          <w:szCs w:val="22"/>
        </w:rPr>
        <w:t xml:space="preserve"> | Roll No: </w:t>
      </w:r>
      <w:r>
        <w:rPr>
          <w:rFonts w:hint="default" w:cs="Arial"/>
          <w:color w:val="595959"/>
          <w:sz w:val="22"/>
          <w:szCs w:val="22"/>
          <w:lang w:val="en-US"/>
        </w:rPr>
        <w:t>23052788</w:t>
      </w:r>
    </w:p>
    <w:p w14:paraId="3F2B87B3">
      <w:pPr>
        <w:jc w:val="center"/>
      </w:pPr>
      <w:r>
        <w:rPr>
          <w:rFonts w:ascii="Arial" w:hAnsi="Arial" w:eastAsia="Arial" w:cs="Arial"/>
          <w:color w:val="595959"/>
          <w:sz w:val="22"/>
          <w:szCs w:val="22"/>
        </w:rPr>
        <w:t xml:space="preserve">SAP Integration Developer | Batch: </w:t>
      </w:r>
      <w:r>
        <w:rPr>
          <w:rFonts w:hint="default" w:cs="Arial"/>
          <w:color w:val="595959"/>
          <w:sz w:val="22"/>
          <w:szCs w:val="22"/>
          <w:lang w:val="en-US"/>
        </w:rPr>
        <w:t>2027_SAP(OE)</w:t>
      </w:r>
      <w:r>
        <w:rPr>
          <w:rFonts w:ascii="Arial" w:hAnsi="Arial" w:eastAsia="Arial" w:cs="Arial"/>
          <w:color w:val="595959"/>
          <w:sz w:val="22"/>
          <w:szCs w:val="22"/>
        </w:rPr>
        <w:t xml:space="preserve"> | KIIT DU | April 2026</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DF472">
    <w:pPr>
      <w:pBdr>
        <w:top w:val="single" w:color="2E75B6" w:sz="4" w:space="4"/>
      </w:pBdr>
      <w:tabs>
        <w:tab w:val="right" w:pos="9360"/>
      </w:tabs>
      <w:spacing w:before="120"/>
    </w:pPr>
    <w:r>
      <w:rPr>
        <w:rFonts w:hint="default" w:cs="Arial"/>
        <w:color w:val="595959"/>
        <w:sz w:val="18"/>
        <w:szCs w:val="18"/>
        <w:lang w:val="en-US"/>
      </w:rPr>
      <w:t>ARYAN AMITANSHU SAHU</w:t>
    </w:r>
    <w:r>
      <w:rPr>
        <w:rFonts w:ascii="Arial" w:hAnsi="Arial" w:eastAsia="Arial" w:cs="Arial"/>
        <w:color w:val="595959"/>
        <w:sz w:val="18"/>
        <w:szCs w:val="18"/>
      </w:rPr>
      <w:t xml:space="preserve"> </w:t>
    </w:r>
    <w:r>
      <w:rPr>
        <w:rFonts w:hint="default" w:cs="Arial"/>
        <w:color w:val="595959"/>
        <w:sz w:val="18"/>
        <w:szCs w:val="18"/>
        <w:lang w:val="en-US"/>
      </w:rPr>
      <w:t>23052788</w:t>
    </w:r>
    <w:r>
      <w:rPr>
        <w:rFonts w:ascii="Arial" w:hAnsi="Arial" w:eastAsia="Arial" w:cs="Arial"/>
        <w:color w:val="595959"/>
        <w:sz w:val="18"/>
        <w:szCs w:val="18"/>
      </w:rPr>
      <w:tab/>
    </w:r>
    <w:r>
      <w:rPr>
        <w:rFonts w:ascii="Arial" w:hAnsi="Arial" w:eastAsia="Arial" w:cs="Arial"/>
        <w:color w:val="595959"/>
        <w:sz w:val="18"/>
        <w:szCs w:val="18"/>
      </w:rPr>
      <w:t xml:space="preserve">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02DA9">
    <w:pPr>
      <w:pBdr>
        <w:bottom w:val="single" w:color="2E75B6" w:sz="4" w:space="4"/>
      </w:pBdr>
      <w:tabs>
        <w:tab w:val="right" w:pos="9360"/>
      </w:tabs>
      <w:spacing w:after="120"/>
    </w:pPr>
    <w:r>
      <w:rPr>
        <w:rFonts w:ascii="Arial" w:hAnsi="Arial" w:eastAsia="Arial" w:cs="Arial"/>
        <w:i/>
        <w:iCs/>
        <w:color w:val="595959"/>
        <w:sz w:val="18"/>
        <w:szCs w:val="18"/>
      </w:rPr>
      <w:t>SAP Blueprint — Nexora IT Services Pvt. Ltd.</w:t>
    </w:r>
    <w:r>
      <w:rPr>
        <w:rFonts w:ascii="Arial" w:hAnsi="Arial" w:eastAsia="Arial" w:cs="Arial"/>
        <w:i/>
        <w:iCs/>
        <w:color w:val="595959"/>
        <w:sz w:val="18"/>
        <w:szCs w:val="18"/>
      </w:rPr>
      <w:tab/>
    </w:r>
    <w:r>
      <w:rPr>
        <w:rFonts w:ascii="Arial" w:hAnsi="Arial" w:eastAsia="Arial" w:cs="Arial"/>
        <w:i/>
        <w:iCs/>
        <w:color w:val="595959"/>
        <w:sz w:val="18"/>
        <w:szCs w:val="18"/>
      </w:rPr>
      <w:t>SAP Integration Developer | 2027_SAP(OE)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E86E72"/>
    <w:rsid w:val="0DF03086"/>
    <w:rsid w:val="123B0A06"/>
    <w:rsid w:val="2C855E78"/>
    <w:rsid w:val="31163885"/>
    <w:rsid w:val="464168ED"/>
    <w:rsid w:val="4D47285D"/>
    <w:rsid w:val="717F00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4E79"/>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29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2026-04-20T16:22:00Z</dcterms:created>
  <dc:creator>Un-named</dc:creator>
  <cp:lastModifiedBy>WPS_1698494361</cp:lastModifiedBy>
  <dcterms:modified xsi:type="dcterms:W3CDTF">2026-04-20T17:59:29Z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21FC964C9DC844C7B5B330710FE0172A_12</vt:lpwstr>
  </property>
</Properties>
</file>