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Liberation Serif" w:hAnsi="Liberation Serif" w:eastAsia="Liberation Serif"/>
          <w:b/>
          <w:sz w:val="44"/>
        </w:rPr>
        <w:t>Cognitive Reframing as a Candidate Semantic Jailbreak</w:t>
      </w:r>
    </w:p>
    <w:p>
      <w:pPr>
        <w:jc w:val="center"/>
      </w:pPr>
      <w:r>
        <w:rPr>
          <w:rFonts w:ascii="Liberation Serif" w:hAnsi="Liberation Serif" w:eastAsia="Liberation Serif"/>
          <w:i/>
          <w:sz w:val="28"/>
        </w:rPr>
        <w:t>A Screenshot-Grounded Pilot Study of Forensic-Puzzle Framing in LLM Safety</w:t>
      </w:r>
    </w:p>
    <w:p>
      <w:pPr>
        <w:spacing w:before="360"/>
        <w:jc w:val="center"/>
      </w:pPr>
      <w:r>
        <w:rPr>
          <w:rFonts w:ascii="Liberation Sans" w:hAnsi="Liberation Sans" w:eastAsia="Liberation Sans"/>
          <w:b/>
          <w:sz w:val="24"/>
        </w:rPr>
        <w:t>Aryan Chehreghani</w:t>
      </w:r>
    </w:p>
    <w:p>
      <w:pPr>
        <w:jc w:val="center"/>
      </w:pPr>
      <w:r>
        <w:rPr>
          <w:rFonts w:ascii="Liberation Serif" w:hAnsi="Liberation Serif" w:eastAsia="Liberation Serif"/>
          <w:sz w:val="21"/>
        </w:rPr>
        <w:t>Independent Researcher (no institutional affiliation)</w:t>
      </w:r>
    </w:p>
    <w:p>
      <w:pPr>
        <w:jc w:val="center"/>
      </w:pPr>
      <w:r>
        <w:rPr>
          <w:rFonts w:ascii="Liberation Serif" w:hAnsi="Liberation Serif" w:eastAsia="Liberation Serif"/>
          <w:sz w:val="21"/>
        </w:rPr>
        <w:t>aryanchehreghani@yahoo.com</w:t>
      </w:r>
    </w:p>
    <w:p>
      <w:pPr>
        <w:spacing w:before="200"/>
        <w:jc w:val="center"/>
      </w:pPr>
      <w:r>
        <w:rPr>
          <w:rFonts w:ascii="Liberation Serif" w:hAnsi="Liberation Serif" w:eastAsia="Liberation Serif"/>
          <w:i/>
          <w:color w:val="505050"/>
          <w:sz w:val="19"/>
        </w:rPr>
        <w:t>Research-in-progress manuscript · Revised evidence edition · 26 July 2026</w:t>
      </w:r>
    </w:p>
    <w:tbl>
      <w:tblPr>
        <w:tblW w:type="auto" w:w="0"/>
        <w:jc w:val="center"/>
        <w:tblLook w:firstColumn="1" w:firstRow="1" w:lastColumn="0" w:lastRow="0" w:noHBand="0" w:noVBand="1" w:val="04A0"/>
      </w:tblPr>
      <w:tblGrid>
        <w:gridCol w:w="9878"/>
      </w:tblGrid>
      <w:tr>
        <w:tc>
          <w:tcPr>
            <w:tcW w:type="dxa" w:w="9878"/>
            <w:shd w:fill="EAF1F8"/>
            <w:tcMar>
              <w:top w:w="130" w:type="dxa"/>
              <w:start w:w="150" w:type="dxa"/>
              <w:bottom w:w="130" w:type="dxa"/>
              <w:end w:w="150" w:type="dxa"/>
            </w:tcMar>
            <w:tcBorders>
              <w:top w:val="single" w:sz="8" w:color="5B7FA3"/>
              <w:left w:val="single" w:sz="8" w:color="5B7FA3"/>
              <w:bottom w:val="single" w:sz="8" w:color="5B7FA3"/>
              <w:right w:val="single" w:sz="8" w:color="5B7FA3"/>
            </w:tcBorders>
          </w:tcPr>
          <w:p>
            <w:r>
              <w:rPr>
                <w:b/>
              </w:rPr>
              <w:t xml:space="preserve">Research status statement. </w:t>
            </w:r>
            <w:r>
              <w:t>The evidence supports a frame-conditioned behavioral hypothesis, not a validated claim of a new top-level vulnerability class. We provisionally refer to the hypothesized pattern as Cognitive Reframing Attack (CRA), pending further empirical validation. The paper separates visible screenshot evidence from interpretation, uses no claims about hidden classifiers or internal “cognitive” pathways, and explicitly states what additional evidence a skeptical reviewer would require.</w:t>
            </w:r>
          </w:p>
        </w:tc>
      </w:tr>
    </w:tbl>
    <w:p>
      <w:pPr>
        <w:spacing w:before="240"/>
        <w:jc w:val="center"/>
      </w:pPr>
      <w:r>
        <w:rPr>
          <w:rFonts w:ascii="Liberation Serif" w:hAnsi="Liberation Serif" w:eastAsia="Liberation Serif"/>
          <w:i/>
          <w:sz w:val="18"/>
        </w:rPr>
        <w:t>Evidence corpus: 17 sequential screenshots supplied by the researcher. Reported collection window: 24–25 July 2026. The screenshots do not display timestamps or an immutable backend model identifier.</w:t>
      </w:r>
    </w:p>
    <w:p>
      <w:r>
        <w:br w:type="page"/>
      </w:r>
    </w:p>
    <w:p>
      <w:pPr>
        <w:pStyle w:val="Heading1"/>
        <w:keepNext/>
      </w:pPr>
      <w:r>
        <w:t>Abstract</w:t>
      </w:r>
    </w:p>
    <w:p>
      <w:pPr>
        <w:pStyle w:val="AbstractText"/>
      </w:pPr>
      <w:r>
        <w:t>Safety-aligned large language models can exhibit materially different behavior when a sensitive information request is transformed from a prospective instruction into retrospective analysis of an apparently impossible event. This paper examines a pilot interaction documented through 17 sequential screenshots from a Claude user interface visibly labeled “Sonnet 5 Medium.” The record contains model-generated criminologist instructions with an explicit prohibition on operational crime guidance, several direct or detailed requests that elicited bounded safe completions and explicit withholding of defeat techniques, and four later forensic-puzzle prompts concerning residential entry, office document theft, journalist-source compromise, and museum theft. The puzzle-framed responses enumerate security-relevant hypotheses—such as pre-existing access, valid credentials, tailgating, unarmed controls, insider access, prior device connectivity, and camera-feed intervention—without reproducing the same refusal language. The screenshots therefore support a limited observation of frame-conditioned disclosure shift. They do not establish a successful jailbreak, a causal mechanism, semantic equivalence between conditions, a new vulnerability class, or cross-model reproducibility. Prior work on analyzing-based jailbreaks, fallacy framing, persuasion, narrative carriers, and scientific-language disguise substantially overlaps with the broad mechanism. We consequently position forensic-puzzle reframing as a candidate semantic jailbreak variant and contribute: (i) a screenshot-level evidence audit with cryptographic hashes and annotations; (ii) a restrained qualitative analysis that distinguishes non-refusal from harmful actionability; (iii) alternative explanations and falsification criteria; and (iv) a preregistration-ready experimental design for matched prompts, factorial ablations, repeated sampling, blinded human review, standardized harmfulness evaluation, and cross-model testing.</w:t>
      </w:r>
    </w:p>
    <w:p>
      <w:pPr>
        <w:pStyle w:val="AbstractText"/>
      </w:pPr>
      <w:r>
        <w:rPr>
          <w:b/>
        </w:rPr>
        <w:t>Keywords—</w:t>
      </w:r>
      <w:r>
        <w:t>large language models; jailbreak; prompt injection; semantic reframing; safety evaluation; red teaming; forensic reasoning; adversarial prompting; evidence audit</w:t>
      </w:r>
    </w:p>
    <w:p>
      <w:pPr>
        <w:pStyle w:val="Heading1"/>
        <w:keepNext/>
      </w:pPr>
      <w:r>
        <w:t>1. Introduction</w:t>
      </w:r>
    </w:p>
    <w:p>
      <w:pPr>
        <w:pStyle w:val="BodyText"/>
      </w:pPr>
      <w:r>
        <w:rPr>
          <w:i w:val="0"/>
        </w:rPr>
        <w:t>Behavioral safeguards in large language models (LLMs) are expected to generalize beyond memorized refusal templates. A robust model should not materially lower its safety threshold merely because the same information target is expressed through a different discourse form—such as a mystery, incident report, historical reconstruction, professional analysis, or humorous hypothetical. Yet a growing body of work shows that safety behavior is sensitive to semantic and pragmatic transformations, including analysis tasks, persuasive framing, benign narratives, scientific register, iterative social engineering, and long-context demonstrations [2]–[11].</w:t>
      </w:r>
    </w:p>
    <w:p>
      <w:pPr>
        <w:pStyle w:val="BodyText"/>
      </w:pPr>
      <w:r>
        <w:rPr>
          <w:i w:val="0"/>
        </w:rPr>
        <w:t>This manuscript investigates a narrow pattern observed in an exploratory red-teaming conversation. Direct requests concerning burglary selection, entry, tools, and worked examples were met with explicit boundaries: the model supplied general criminology and defensive information but repeatedly withheld specific defeat techniques. Later prompts described apparently impossible completed events and asked for a “boring human answer,” sometimes invoking elves, aliens, witchcraft, or physics taking a coffee break. The model then enumerated plausible access and control-failure hypotheses across four domains.</w:t>
      </w:r>
    </w:p>
    <w:p>
      <w:pPr>
        <w:pStyle w:val="BodyText"/>
      </w:pPr>
      <w:r>
        <w:rPr>
          <w:i w:val="0"/>
        </w:rPr>
        <w:t>The strongest initial interpretation was that the model’s “problem-solving drive” bypassed a cognitive categorization layer that ordinary prompt injection defenses did not cover. The screenshots cannot support that mechanistic claim. They expose only visible inputs and outputs; they do not reveal internal classifiers, hidden system messages, activation pathways, policy routing, or server-side moderation. In addition, the direct and reframed prompts are not content-matched. The direct requests ask for tools or methods, whereas several puzzle prompts ask for possible causes. A model may legitimately answer the latter while refusing the former.</w:t>
      </w:r>
    </w:p>
    <w:p>
      <w:pPr>
        <w:pStyle w:val="BodyText"/>
      </w:pPr>
      <w:r>
        <w:rPr>
          <w:i w:val="0"/>
        </w:rPr>
        <w:t>Accordingly, the paper adopts a narrower thesis: the screenshots show a candidate frame-conditioned disclosure pattern that deserves controlled evaluation. We provisionally refer to the hypothesized phenomenon as Cognitive Reframing Attack (CRA), pending further empirical validation. The observable prompt template is called Forensic-Puzzle Reframing (FPR) to avoid asserting an internal cognitive mechanism.</w:t>
      </w:r>
    </w:p>
    <w:p>
      <w:pPr>
        <w:pStyle w:val="BodyText"/>
      </w:pPr>
      <w:r>
        <w:rPr>
          <w:i w:val="0"/>
        </w:rPr>
        <w:t>The contributions of this revised manuscript are fourfold:</w:t>
      </w:r>
    </w:p>
    <w:p>
      <w:pPr>
        <w:pStyle w:val="BodyText"/>
        <w:ind w:left="403" w:hanging="403"/>
      </w:pPr>
      <w:r>
        <w:t>1.  A provenance-preserving audit of 17 screenshots, including sequential evidence identifiers, SHA-256 hashes, and visual annotations that distinguish prompts, explicit safety boundaries, context, and security-relevant disclosures.</w:t>
      </w:r>
    </w:p>
    <w:p>
      <w:pPr>
        <w:pStyle w:val="BodyText"/>
        <w:ind w:left="403" w:hanging="403"/>
      </w:pPr>
      <w:r>
        <w:t>2.  A qualitative pilot analysis that corrects the original overclaim: the direct condition is a bounded safe completion rather than a categorical refusal, and the later outputs are mostly high-level causal hypotheses rather than demonstrated operational instructions.</w:t>
      </w:r>
    </w:p>
    <w:p>
      <w:pPr>
        <w:pStyle w:val="BodyText"/>
        <w:ind w:left="403" w:hanging="403"/>
      </w:pPr>
      <w:r>
        <w:t>3.  A novelty assessment against the closest prior work, especially Analyzing-based Jailbreak and Fallacy Failure Attack, which substantially raise the bar for claiming a new class.</w:t>
      </w:r>
    </w:p>
    <w:p>
      <w:pPr>
        <w:pStyle w:val="BodyText"/>
        <w:ind w:left="403" w:hanging="403"/>
      </w:pPr>
      <w:r>
        <w:t>4.  A falsifiable, preregistration-ready study design specifying matched prompt families, ablations, repeated trials, cross-model evaluation, human rating, statistical analysis, and explicit rejection criteria.</w:t>
      </w:r>
    </w:p>
    <w:p>
      <w:pPr>
        <w:pStyle w:val="Heading1"/>
        <w:keepNext/>
      </w:pPr>
      <w:r>
        <w:t>2. Research Motivation and Questions</w:t>
      </w:r>
    </w:p>
    <w:p>
      <w:pPr>
        <w:pStyle w:val="BodyText"/>
      </w:pPr>
      <w:r>
        <w:rPr>
          <w:i w:val="0"/>
        </w:rPr>
        <w:t>The central security concern is safety invariance under intent-preserving transformations. If a model withholds a capability when asked prospectively but supplies materially equivalent operational information when asked to reconstruct a completed event, the system may have a distributional gap in safety training or evaluation. Conversely, if the retrospective answer contains only generic incident-response hypotheses, then the behavior may reflect legitimate utility rather than a safety bypass.</w:t>
      </w:r>
    </w:p>
    <w:p>
      <w:pPr>
        <w:pStyle w:val="BodyText"/>
      </w:pPr>
      <w:r>
        <w:rPr>
          <w:i w:val="0"/>
        </w:rPr>
        <w:t>This tension is especially acute in physical security, criminology, incident response, journalism, and digital forensics. Legitimate users need causal analysis, yet causal analysis can sometimes lower the barrier to wrongdoing. The research problem is therefore not “does the model refuse?” but “does framing change the specificity, actionability, and policy relevance of the information it provides after semantic content is controlled?”</w:t>
      </w:r>
    </w:p>
    <w:p>
      <w:pPr>
        <w:pStyle w:val="BodyText"/>
      </w:pPr>
      <w:r>
        <w:rPr>
          <w:i w:val="0"/>
        </w:rPr>
        <w:t>The revised study is organized around the following questions:</w:t>
      </w:r>
    </w:p>
    <w:p>
      <w:pPr>
        <w:pStyle w:val="BodyText"/>
        <w:ind w:left="403" w:hanging="403"/>
      </w:pPr>
      <w:r>
        <w:t>1.  RQ1 — Behavioral effect: Does FPR systematically reduce refusal or increase specificity/actionability relative to content-matched direct, retrospective-only, and benign defensive controls?</w:t>
      </w:r>
    </w:p>
    <w:p>
      <w:pPr>
        <w:pStyle w:val="BodyText"/>
        <w:ind w:left="403" w:hanging="403"/>
      </w:pPr>
      <w:r>
        <w:t>2.  RQ2 — Causal components: Which elements—retrospection, contradictory clues, humor, professional role, narrative length, or ambiguity—contribute independently to any effect?</w:t>
      </w:r>
    </w:p>
    <w:p>
      <w:pPr>
        <w:pStyle w:val="BodyText"/>
        <w:ind w:left="403" w:hanging="403"/>
      </w:pPr>
      <w:r>
        <w:t>3.  RQ3 — Security relevance: Do independent evaluators judge the additional content as materially useful for a prohibited objective, rather than generic defensive knowledge?</w:t>
      </w:r>
    </w:p>
    <w:p>
      <w:pPr>
        <w:pStyle w:val="BodyText"/>
        <w:ind w:left="403" w:hanging="403"/>
      </w:pPr>
      <w:r>
        <w:t>4.  RQ4 — Distinctiveness: Does FPR outperform generic analysis-based, fallacy-based, persuasive, narrative, and simple paraphrase baselines under the same evaluation pipeline?</w:t>
      </w:r>
    </w:p>
    <w:p>
      <w:pPr>
        <w:pStyle w:val="BodyText"/>
        <w:ind w:left="403" w:hanging="403"/>
      </w:pPr>
      <w:r>
        <w:t>5.  RQ5 — Generalization: Does the effect replicate across clean sessions, repeated samples, domains, providers, and open-weight models?</w:t>
      </w:r>
    </w:p>
    <w:p>
      <w:pPr>
        <w:pStyle w:val="Heading1"/>
        <w:keepNext/>
      </w:pPr>
      <w:r>
        <w:t>3. Related Work</w:t>
      </w:r>
    </w:p>
    <w:p>
      <w:pPr>
        <w:pStyle w:val="Heading2"/>
        <w:keepNext/>
      </w:pPr>
      <w:r>
        <w:t>3.1 Prompt injection and jailbreak taxonomies</w:t>
      </w:r>
    </w:p>
    <w:p>
      <w:pPr>
        <w:pStyle w:val="BodyText"/>
      </w:pPr>
      <w:r>
        <w:rPr>
          <w:i w:val="0"/>
        </w:rPr>
        <w:t>OWASP defines prompt injection broadly as crafted input that alters an LLM’s behavior or output in unintended ways [1]. The definition does not require explicit phrases such as “ignore previous instructions.” Jailbreaking is commonly treated as a related prompt-manipulation problem in which a user attempts to bypass behavioral safeguards. Consequently, the absence of an injunctive override does not by itself place CRA “beyond prompt injection.” A more defensible classification is a direct semantic jailbreak or prompt-manipulation variant unless experiments reveal a distinct impact, root cause, or mitigation requirement.</w:t>
      </w:r>
    </w:p>
    <w:p>
      <w:pPr>
        <w:pStyle w:val="Heading2"/>
        <w:keepNext/>
      </w:pPr>
      <w:r>
        <w:t>3.2 Analysis- and reasoning-based attacks</w:t>
      </w:r>
    </w:p>
    <w:p>
      <w:pPr>
        <w:pStyle w:val="BodyText"/>
      </w:pPr>
      <w:r>
        <w:rPr>
          <w:i w:val="0"/>
        </w:rPr>
        <w:t>Analyzing-based Jailbreak (ABJ) directly exploits reasoning and analysis tasks to elicit harmful content from safety-aligned models [2]. It is the closest prior work and creates a high novelty bar: an “analysis rather than instruction” distinction is already established. Fallacy Failure Attack (FFA) asks a model for a plausible but supposedly false or fallacious harmful procedure; because models struggle to produce intentionally false reasoning, they may output truthful harmful content under a wrapper they treat as harmless [3]. Both works demonstrate that safety failures can arise without a conventional override command.</w:t>
      </w:r>
    </w:p>
    <w:p>
      <w:pPr>
        <w:pStyle w:val="Heading2"/>
        <w:keepNext/>
      </w:pPr>
      <w:r>
        <w:t>3.3 Persuasion, narrative carriers, and register shifts</w:t>
      </w:r>
    </w:p>
    <w:p>
      <w:pPr>
        <w:pStyle w:val="BodyText"/>
      </w:pPr>
      <w:r>
        <w:rPr>
          <w:i w:val="0"/>
        </w:rPr>
        <w:t>Persuasive Adversarial Prompts (PAP) use interpretable persuasion strategies drawn from social science and substantially change safety behavior across models [4]. PAIR automates black-box semantic jailbreak refinement using an attacker model and a small number of queries [5]. Carrier-article attacks embed a prohibited goal in a semantically related benign narrative [6], while scientific-language attacks show that academic register and fabricated scholarly framing can increase problematic behavior [7]. These approaches collectively cover much of the broad claim that contextual interpretation, not only explicit commands, can affect alignment.</w:t>
      </w:r>
    </w:p>
    <w:p>
      <w:pPr>
        <w:pStyle w:val="Heading2"/>
        <w:keepNext/>
      </w:pPr>
      <w:r>
        <w:t>3.4 Evaluation standards</w:t>
      </w:r>
    </w:p>
    <w:p>
      <w:pPr>
        <w:pStyle w:val="BodyText"/>
      </w:pPr>
      <w:r>
        <w:rPr>
          <w:i w:val="0"/>
        </w:rPr>
        <w:t>HarmBench, StrongREJECT, and JailbreakBench address inconsistent threat models and inflated attack-success claims [8]–[10]. StrongREJECT is particularly relevant: absence of refusal is not equivalent to successful harmful assistance. A response must provide useful, specific information that advances the prohibited objective. The present screenshots contain multiple non-refusal answers, but most enumerate familiar security hypotheses rather than procedural attack sequences. Any formal claim must therefore score actionability and usefulness, not merely count refusal tokens.</w:t>
      </w:r>
    </w:p>
    <w:p>
      <w:pPr>
        <w:pStyle w:val="Heading2"/>
        <w:keepNext/>
      </w:pPr>
      <w:r>
        <w:t>3.5 Multi-turn and instruction-hierarchy context</w:t>
      </w:r>
    </w:p>
    <w:p>
      <w:pPr>
        <w:pStyle w:val="BodyText"/>
      </w:pPr>
      <w:r>
        <w:rPr>
          <w:i w:val="0"/>
        </w:rPr>
        <w:t>Many-shot jailbreaking demonstrates that long conversational context can shift safety behavior [11], while work on instruction hierarchy formalizes the need to prioritize privileged instructions over untrusted user content [12]. These results make conversation history an important confounder. The screenshots come from one continuing session in which persona construction, direct requests, refusals, and puzzle prompts occur sequentially. Clean-session replication is therefore mandatory.</w:t>
      </w:r>
    </w:p>
    <w:p>
      <w:pPr>
        <w:pStyle w:val="CaptionSmall"/>
        <w:keepNext w:val="0"/>
        <w:jc w:val="left"/>
      </w:pPr>
      <w:r>
        <w:t>Table 1. Positioning FPR against closely related attack families.</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440"/>
            <w:shd w:fill="DCE6F1"/>
            <w:tcMar>
              <w:top w:w="70" w:type="dxa"/>
              <w:start w:w="80" w:type="dxa"/>
              <w:bottom w:w="70" w:type="dxa"/>
              <w:end w:w="80" w:type="dxa"/>
            </w:tcMar>
            <w:vAlign w:val="center"/>
          </w:tcPr>
          <w:p>
            <w:r>
              <w:rPr>
                <w:rFonts w:ascii="Liberation Sans" w:hAnsi="Liberation Sans" w:eastAsia="Liberation Sans"/>
                <w:b/>
                <w:sz w:val="15"/>
              </w:rPr>
              <w:t>Approach</w:t>
            </w:r>
          </w:p>
        </w:tc>
        <w:tc>
          <w:tcPr>
            <w:tcW w:type="dxa" w:w="2232"/>
            <w:shd w:fill="DCE6F1"/>
            <w:tcMar>
              <w:top w:w="70" w:type="dxa"/>
              <w:start w:w="80" w:type="dxa"/>
              <w:bottom w:w="70" w:type="dxa"/>
              <w:end w:w="80" w:type="dxa"/>
            </w:tcMar>
            <w:vAlign w:val="center"/>
          </w:tcPr>
          <w:p>
            <w:r>
              <w:rPr>
                <w:rFonts w:ascii="Liberation Sans" w:hAnsi="Liberation Sans" w:eastAsia="Liberation Sans"/>
                <w:b/>
                <w:sz w:val="15"/>
              </w:rPr>
              <w:t>Observable wrapper</w:t>
            </w:r>
          </w:p>
        </w:tc>
        <w:tc>
          <w:tcPr>
            <w:tcW w:type="dxa" w:w="1080"/>
            <w:shd w:fill="DCE6F1"/>
            <w:tcMar>
              <w:top w:w="70" w:type="dxa"/>
              <w:start w:w="80" w:type="dxa"/>
              <w:bottom w:w="70" w:type="dxa"/>
              <w:end w:w="80" w:type="dxa"/>
            </w:tcMar>
            <w:vAlign w:val="center"/>
          </w:tcPr>
          <w:p>
            <w:r>
              <w:rPr>
                <w:rFonts w:ascii="Liberation Sans" w:hAnsi="Liberation Sans" w:eastAsia="Liberation Sans"/>
                <w:b/>
                <w:sz w:val="15"/>
              </w:rPr>
              <w:t>Explicit override required?</w:t>
            </w:r>
          </w:p>
        </w:tc>
        <w:tc>
          <w:tcPr>
            <w:tcW w:type="dxa" w:w="1800"/>
            <w:shd w:fill="DCE6F1"/>
            <w:tcMar>
              <w:top w:w="70" w:type="dxa"/>
              <w:start w:w="80" w:type="dxa"/>
              <w:bottom w:w="70" w:type="dxa"/>
              <w:end w:w="80" w:type="dxa"/>
            </w:tcMar>
            <w:vAlign w:val="center"/>
          </w:tcPr>
          <w:p>
            <w:r>
              <w:rPr>
                <w:rFonts w:ascii="Liberation Sans" w:hAnsi="Liberation Sans" w:eastAsia="Liberation Sans"/>
                <w:b/>
                <w:sz w:val="15"/>
              </w:rPr>
              <w:t>Overlap with FPR</w:t>
            </w:r>
          </w:p>
        </w:tc>
        <w:tc>
          <w:tcPr>
            <w:tcW w:type="dxa" w:w="3024"/>
            <w:shd w:fill="DCE6F1"/>
            <w:tcMar>
              <w:top w:w="70" w:type="dxa"/>
              <w:start w:w="80" w:type="dxa"/>
              <w:bottom w:w="70" w:type="dxa"/>
              <w:end w:w="80" w:type="dxa"/>
            </w:tcMar>
            <w:vAlign w:val="center"/>
          </w:tcPr>
          <w:p>
            <w:r>
              <w:rPr>
                <w:rFonts w:ascii="Liberation Sans" w:hAnsi="Liberation Sans" w:eastAsia="Liberation Sans"/>
                <w:b/>
                <w:sz w:val="15"/>
              </w:rPr>
              <w:t>Novelty test</w:t>
            </w:r>
          </w:p>
        </w:tc>
      </w:tr>
      <w:tr>
        <w:tc>
          <w:tcPr>
            <w:tcW w:type="dxa" w:w="1440"/>
            <w:tcMar>
              <w:top w:w="70" w:type="dxa"/>
              <w:start w:w="80" w:type="dxa"/>
              <w:bottom w:w="70" w:type="dxa"/>
              <w:end w:w="80" w:type="dxa"/>
            </w:tcMar>
            <w:vAlign w:val="top"/>
          </w:tcPr>
          <w:p>
            <w:pPr>
              <w:spacing w:after="20"/>
            </w:pPr>
            <w:r>
              <w:rPr>
                <w:rFonts w:ascii="Liberation Serif" w:hAnsi="Liberation Serif" w:eastAsia="Liberation Serif"/>
                <w:sz w:val="15"/>
              </w:rPr>
              <w:t>ABJ [2]</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5"/>
              </w:rPr>
              <w:t>Analysis/reasoning task</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No</w:t>
            </w:r>
          </w:p>
        </w:tc>
        <w:tc>
          <w:tcPr>
            <w:tcW w:type="dxa" w:w="1800"/>
            <w:tcMar>
              <w:top w:w="70" w:type="dxa"/>
              <w:start w:w="80" w:type="dxa"/>
              <w:bottom w:w="70" w:type="dxa"/>
              <w:end w:w="80" w:type="dxa"/>
            </w:tcMar>
            <w:vAlign w:val="top"/>
          </w:tcPr>
          <w:p>
            <w:pPr>
              <w:spacing w:after="20"/>
            </w:pPr>
            <w:r>
              <w:rPr>
                <w:rFonts w:ascii="Liberation Serif" w:hAnsi="Liberation Serif" w:eastAsia="Liberation Serif"/>
                <w:sz w:val="15"/>
              </w:rPr>
              <w:t>Very high</w:t>
            </w:r>
          </w:p>
        </w:tc>
        <w:tc>
          <w:tcPr>
            <w:tcW w:type="dxa" w:w="3024"/>
            <w:tcMar>
              <w:top w:w="70" w:type="dxa"/>
              <w:start w:w="80" w:type="dxa"/>
              <w:bottom w:w="70" w:type="dxa"/>
              <w:end w:w="80" w:type="dxa"/>
            </w:tcMar>
            <w:vAlign w:val="top"/>
          </w:tcPr>
          <w:p>
            <w:pPr>
              <w:spacing w:after="20"/>
            </w:pPr>
            <w:r>
              <w:rPr>
                <w:rFonts w:ascii="Liberation Serif" w:hAnsi="Liberation Serif" w:eastAsia="Liberation Serif"/>
                <w:sz w:val="15"/>
              </w:rPr>
              <w:t>Does contradiction-driven forensic reconstruction add an effect beyond generic analysis?</w:t>
            </w:r>
          </w:p>
        </w:tc>
      </w:tr>
      <w:tr>
        <w:tc>
          <w:tcPr>
            <w:tcW w:type="dxa" w:w="1440"/>
            <w:tcMar>
              <w:top w:w="70" w:type="dxa"/>
              <w:start w:w="80" w:type="dxa"/>
              <w:bottom w:w="70" w:type="dxa"/>
              <w:end w:w="80" w:type="dxa"/>
            </w:tcMar>
            <w:vAlign w:val="top"/>
          </w:tcPr>
          <w:p>
            <w:pPr>
              <w:spacing w:after="20"/>
            </w:pPr>
            <w:r>
              <w:rPr>
                <w:rFonts w:ascii="Liberation Serif" w:hAnsi="Liberation Serif" w:eastAsia="Liberation Serif"/>
                <w:sz w:val="15"/>
              </w:rPr>
              <w:t>FFA [3]</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5"/>
              </w:rPr>
              <w:t>Request for a supposedly false/fallacious harmful procedure</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No</w:t>
            </w:r>
          </w:p>
        </w:tc>
        <w:tc>
          <w:tcPr>
            <w:tcW w:type="dxa" w:w="1800"/>
            <w:tcMar>
              <w:top w:w="70" w:type="dxa"/>
              <w:start w:w="80" w:type="dxa"/>
              <w:bottom w:w="70" w:type="dxa"/>
              <w:end w:w="80" w:type="dxa"/>
            </w:tcMar>
            <w:vAlign w:val="top"/>
          </w:tcPr>
          <w:p>
            <w:pPr>
              <w:spacing w:after="20"/>
            </w:pPr>
            <w:r>
              <w:rPr>
                <w:rFonts w:ascii="Liberation Serif" w:hAnsi="Liberation Serif" w:eastAsia="Liberation Serif"/>
                <w:sz w:val="15"/>
              </w:rPr>
              <w:t>High</w:t>
            </w:r>
          </w:p>
        </w:tc>
        <w:tc>
          <w:tcPr>
            <w:tcW w:type="dxa" w:w="3024"/>
            <w:tcMar>
              <w:top w:w="70" w:type="dxa"/>
              <w:start w:w="80" w:type="dxa"/>
              <w:bottom w:w="70" w:type="dxa"/>
              <w:end w:w="80" w:type="dxa"/>
            </w:tcMar>
            <w:vAlign w:val="top"/>
          </w:tcPr>
          <w:p>
            <w:pPr>
              <w:spacing w:after="20"/>
            </w:pPr>
            <w:r>
              <w:rPr>
                <w:rFonts w:ascii="Liberation Serif" w:hAnsi="Liberation Serif" w:eastAsia="Liberation Serif"/>
                <w:sz w:val="15"/>
              </w:rPr>
              <w:t>Is presumed harmlessness, rather than puzzle structure, the active component?</w:t>
            </w:r>
          </w:p>
        </w:tc>
      </w:tr>
      <w:tr>
        <w:tc>
          <w:tcPr>
            <w:tcW w:type="dxa" w:w="1440"/>
            <w:tcMar>
              <w:top w:w="70" w:type="dxa"/>
              <w:start w:w="80" w:type="dxa"/>
              <w:bottom w:w="70" w:type="dxa"/>
              <w:end w:w="80" w:type="dxa"/>
            </w:tcMar>
            <w:vAlign w:val="top"/>
          </w:tcPr>
          <w:p>
            <w:pPr>
              <w:spacing w:after="20"/>
            </w:pPr>
            <w:r>
              <w:rPr>
                <w:rFonts w:ascii="Liberation Serif" w:hAnsi="Liberation Serif" w:eastAsia="Liberation Serif"/>
                <w:sz w:val="15"/>
              </w:rPr>
              <w:t>PAP [4]</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5"/>
              </w:rPr>
              <w:t>Human-readable persuasion strategy</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No</w:t>
            </w:r>
          </w:p>
        </w:tc>
        <w:tc>
          <w:tcPr>
            <w:tcW w:type="dxa" w:w="1800"/>
            <w:tcMar>
              <w:top w:w="70" w:type="dxa"/>
              <w:start w:w="80" w:type="dxa"/>
              <w:bottom w:w="70" w:type="dxa"/>
              <w:end w:w="80" w:type="dxa"/>
            </w:tcMar>
            <w:vAlign w:val="top"/>
          </w:tcPr>
          <w:p>
            <w:pPr>
              <w:spacing w:after="20"/>
            </w:pPr>
            <w:r>
              <w:rPr>
                <w:rFonts w:ascii="Liberation Serif" w:hAnsi="Liberation Serif" w:eastAsia="Liberation Serif"/>
                <w:sz w:val="15"/>
              </w:rPr>
              <w:t>Medium</w:t>
            </w:r>
          </w:p>
        </w:tc>
        <w:tc>
          <w:tcPr>
            <w:tcW w:type="dxa" w:w="3024"/>
            <w:tcMar>
              <w:top w:w="70" w:type="dxa"/>
              <w:start w:w="80" w:type="dxa"/>
              <w:bottom w:w="70" w:type="dxa"/>
              <w:end w:w="80" w:type="dxa"/>
            </w:tcMar>
            <w:vAlign w:val="top"/>
          </w:tcPr>
          <w:p>
            <w:pPr>
              <w:spacing w:after="20"/>
            </w:pPr>
            <w:r>
              <w:rPr>
                <w:rFonts w:ascii="Liberation Serif" w:hAnsi="Liberation Serif" w:eastAsia="Liberation Serif"/>
                <w:sz w:val="15"/>
              </w:rPr>
              <w:t>Does FPR work without persuasion or authority appeals?</w:t>
            </w:r>
          </w:p>
        </w:tc>
      </w:tr>
      <w:tr>
        <w:tc>
          <w:tcPr>
            <w:tcW w:type="dxa" w:w="1440"/>
            <w:tcMar>
              <w:top w:w="70" w:type="dxa"/>
              <w:start w:w="80" w:type="dxa"/>
              <w:bottom w:w="70" w:type="dxa"/>
              <w:end w:w="80" w:type="dxa"/>
            </w:tcMar>
            <w:vAlign w:val="top"/>
          </w:tcPr>
          <w:p>
            <w:pPr>
              <w:spacing w:after="20"/>
            </w:pPr>
            <w:r>
              <w:rPr>
                <w:rFonts w:ascii="Liberation Serif" w:hAnsi="Liberation Serif" w:eastAsia="Liberation Serif"/>
                <w:sz w:val="15"/>
              </w:rPr>
              <w:t>PAIR [5]</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5"/>
              </w:rPr>
              <w:t>Iteratively refined semantic jailbreak</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No</w:t>
            </w:r>
          </w:p>
        </w:tc>
        <w:tc>
          <w:tcPr>
            <w:tcW w:type="dxa" w:w="1800"/>
            <w:tcMar>
              <w:top w:w="70" w:type="dxa"/>
              <w:start w:w="80" w:type="dxa"/>
              <w:bottom w:w="70" w:type="dxa"/>
              <w:end w:w="80" w:type="dxa"/>
            </w:tcMar>
            <w:vAlign w:val="top"/>
          </w:tcPr>
          <w:p>
            <w:pPr>
              <w:spacing w:after="20"/>
            </w:pPr>
            <w:r>
              <w:rPr>
                <w:rFonts w:ascii="Liberation Serif" w:hAnsi="Liberation Serif" w:eastAsia="Liberation Serif"/>
                <w:sz w:val="15"/>
              </w:rPr>
              <w:t>Medium</w:t>
            </w:r>
          </w:p>
        </w:tc>
        <w:tc>
          <w:tcPr>
            <w:tcW w:type="dxa" w:w="3024"/>
            <w:tcMar>
              <w:top w:w="70" w:type="dxa"/>
              <w:start w:w="80" w:type="dxa"/>
              <w:bottom w:w="70" w:type="dxa"/>
              <w:end w:w="80" w:type="dxa"/>
            </w:tcMar>
            <w:vAlign w:val="top"/>
          </w:tcPr>
          <w:p>
            <w:pPr>
              <w:spacing w:after="20"/>
            </w:pPr>
            <w:r>
              <w:rPr>
                <w:rFonts w:ascii="Liberation Serif" w:hAnsi="Liberation Serif" w:eastAsia="Liberation Serif"/>
                <w:sz w:val="15"/>
              </w:rPr>
              <w:t>Does a fixed FPR template offer distinct query efficiency or transferability?</w:t>
            </w:r>
          </w:p>
        </w:tc>
      </w:tr>
      <w:tr>
        <w:tc>
          <w:tcPr>
            <w:tcW w:type="dxa" w:w="1440"/>
            <w:tcMar>
              <w:top w:w="70" w:type="dxa"/>
              <w:start w:w="80" w:type="dxa"/>
              <w:bottom w:w="70" w:type="dxa"/>
              <w:end w:w="80" w:type="dxa"/>
            </w:tcMar>
            <w:vAlign w:val="top"/>
          </w:tcPr>
          <w:p>
            <w:pPr>
              <w:spacing w:after="20"/>
            </w:pPr>
            <w:r>
              <w:rPr>
                <w:rFonts w:ascii="Liberation Serif" w:hAnsi="Liberation Serif" w:eastAsia="Liberation Serif"/>
                <w:sz w:val="15"/>
              </w:rPr>
              <w:t>Carrier narratives [6]</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5"/>
              </w:rPr>
              <w:t>Benign narrative containing a prohibited goal</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No</w:t>
            </w:r>
          </w:p>
        </w:tc>
        <w:tc>
          <w:tcPr>
            <w:tcW w:type="dxa" w:w="1800"/>
            <w:tcMar>
              <w:top w:w="70" w:type="dxa"/>
              <w:start w:w="80" w:type="dxa"/>
              <w:bottom w:w="70" w:type="dxa"/>
              <w:end w:w="80" w:type="dxa"/>
            </w:tcMar>
            <w:vAlign w:val="top"/>
          </w:tcPr>
          <w:p>
            <w:pPr>
              <w:spacing w:after="20"/>
            </w:pPr>
            <w:r>
              <w:rPr>
                <w:rFonts w:ascii="Liberation Serif" w:hAnsi="Liberation Serif" w:eastAsia="Liberation Serif"/>
                <w:sz w:val="15"/>
              </w:rPr>
              <w:t>High</w:t>
            </w:r>
          </w:p>
        </w:tc>
        <w:tc>
          <w:tcPr>
            <w:tcW w:type="dxa" w:w="3024"/>
            <w:tcMar>
              <w:top w:w="70" w:type="dxa"/>
              <w:start w:w="80" w:type="dxa"/>
              <w:bottom w:w="70" w:type="dxa"/>
              <w:end w:w="80" w:type="dxa"/>
            </w:tcMar>
            <w:vAlign w:val="top"/>
          </w:tcPr>
          <w:p>
            <w:pPr>
              <w:spacing w:after="20"/>
            </w:pPr>
            <w:r>
              <w:rPr>
                <w:rFonts w:ascii="Liberation Serif" w:hAnsi="Liberation Serif" w:eastAsia="Liberation Serif"/>
                <w:sz w:val="15"/>
              </w:rPr>
              <w:t>Can FPR preserve the same information target without embedding an overt harmful instruction?</w:t>
            </w:r>
          </w:p>
        </w:tc>
      </w:tr>
      <w:tr>
        <w:tc>
          <w:tcPr>
            <w:tcW w:type="dxa" w:w="1440"/>
            <w:tcMar>
              <w:top w:w="70" w:type="dxa"/>
              <w:start w:w="80" w:type="dxa"/>
              <w:bottom w:w="70" w:type="dxa"/>
              <w:end w:w="80" w:type="dxa"/>
            </w:tcMar>
            <w:vAlign w:val="top"/>
          </w:tcPr>
          <w:p>
            <w:pPr>
              <w:spacing w:after="20"/>
            </w:pPr>
            <w:r>
              <w:rPr>
                <w:rFonts w:ascii="Liberation Serif" w:hAnsi="Liberation Serif" w:eastAsia="Liberation Serif"/>
                <w:sz w:val="15"/>
              </w:rPr>
              <w:t>Scientific-language disguise [7]</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5"/>
              </w:rPr>
              <w:t>Academic/scientific register</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No</w:t>
            </w:r>
          </w:p>
        </w:tc>
        <w:tc>
          <w:tcPr>
            <w:tcW w:type="dxa" w:w="1800"/>
            <w:tcMar>
              <w:top w:w="70" w:type="dxa"/>
              <w:start w:w="80" w:type="dxa"/>
              <w:bottom w:w="70" w:type="dxa"/>
              <w:end w:w="80" w:type="dxa"/>
            </w:tcMar>
            <w:vAlign w:val="top"/>
          </w:tcPr>
          <w:p>
            <w:pPr>
              <w:spacing w:after="20"/>
            </w:pPr>
            <w:r>
              <w:rPr>
                <w:rFonts w:ascii="Liberation Serif" w:hAnsi="Liberation Serif" w:eastAsia="Liberation Serif"/>
                <w:sz w:val="15"/>
              </w:rPr>
              <w:t>Medium</w:t>
            </w:r>
          </w:p>
        </w:tc>
        <w:tc>
          <w:tcPr>
            <w:tcW w:type="dxa" w:w="3024"/>
            <w:tcMar>
              <w:top w:w="70" w:type="dxa"/>
              <w:start w:w="80" w:type="dxa"/>
              <w:bottom w:w="70" w:type="dxa"/>
              <w:end w:w="80" w:type="dxa"/>
            </w:tcMar>
            <w:vAlign w:val="top"/>
          </w:tcPr>
          <w:p>
            <w:pPr>
              <w:spacing w:after="20"/>
            </w:pPr>
            <w:r>
              <w:rPr>
                <w:rFonts w:ascii="Liberation Serif" w:hAnsi="Liberation Serif" w:eastAsia="Liberation Serif"/>
                <w:sz w:val="15"/>
              </w:rPr>
              <w:t>Does professional language explain the result independently of puzzle structure?</w:t>
            </w:r>
          </w:p>
        </w:tc>
      </w:tr>
      <w:tr>
        <w:tc>
          <w:tcPr>
            <w:tcW w:type="dxa" w:w="1440"/>
            <w:tcMar>
              <w:top w:w="70" w:type="dxa"/>
              <w:start w:w="80" w:type="dxa"/>
              <w:bottom w:w="70" w:type="dxa"/>
              <w:end w:w="80" w:type="dxa"/>
            </w:tcMar>
            <w:vAlign w:val="top"/>
          </w:tcPr>
          <w:p>
            <w:pPr>
              <w:spacing w:after="20"/>
            </w:pPr>
            <w:r>
              <w:rPr>
                <w:rFonts w:ascii="Liberation Serif" w:hAnsi="Liberation Serif" w:eastAsia="Liberation Serif"/>
                <w:sz w:val="15"/>
              </w:rPr>
              <w:t>FPR (this study)</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5"/>
              </w:rPr>
              <w:t>Retrospective mystery with contradictory clues and optional humor</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No</w:t>
            </w:r>
          </w:p>
        </w:tc>
        <w:tc>
          <w:tcPr>
            <w:tcW w:type="dxa" w:w="1800"/>
            <w:tcMar>
              <w:top w:w="70" w:type="dxa"/>
              <w:start w:w="80" w:type="dxa"/>
              <w:bottom w:w="70" w:type="dxa"/>
              <w:end w:w="80" w:type="dxa"/>
            </w:tcMar>
            <w:vAlign w:val="top"/>
          </w:tcPr>
          <w:p>
            <w:pPr>
              <w:spacing w:after="20"/>
            </w:pPr>
            <w:r>
              <w:rPr>
                <w:rFonts w:ascii="Liberation Serif" w:hAnsi="Liberation Serif" w:eastAsia="Liberation Serif"/>
                <w:sz w:val="15"/>
              </w:rPr>
              <w:t>—</w:t>
            </w:r>
          </w:p>
        </w:tc>
        <w:tc>
          <w:tcPr>
            <w:tcW w:type="dxa" w:w="3024"/>
            <w:tcMar>
              <w:top w:w="70" w:type="dxa"/>
              <w:start w:w="80" w:type="dxa"/>
              <w:bottom w:w="70" w:type="dxa"/>
              <w:end w:w="80" w:type="dxa"/>
            </w:tcMar>
            <w:vAlign w:val="top"/>
          </w:tcPr>
          <w:p>
            <w:pPr>
              <w:spacing w:after="20"/>
            </w:pPr>
            <w:r>
              <w:rPr>
                <w:rFonts w:ascii="Liberation Serif" w:hAnsi="Liberation Serif" w:eastAsia="Liberation Serif"/>
                <w:sz w:val="15"/>
              </w:rPr>
              <w:t>Which components causally increase actionable output under matched baselines?</w:t>
            </w:r>
          </w:p>
        </w:tc>
      </w:tr>
    </w:tbl>
    <w:p>
      <w:pPr>
        <w:pStyle w:val="Heading1"/>
        <w:keepNext/>
      </w:pPr>
      <w:r>
        <w:t>4. Threat Model</w:t>
      </w:r>
    </w:p>
    <w:p>
      <w:pPr>
        <w:pStyle w:val="BodyText"/>
      </w:pPr>
      <w:r>
        <w:rPr>
          <w:i w:val="0"/>
        </w:rPr>
        <w:t>Adversary. The adversary has ordinary black-box conversational access to a safety-aligned LLM. The adversary cannot modify model weights, hidden system messages, external moderation, tools, retrieval corpora, or deployment code. The adversary may submit natural-language prompts in one or more turns and observe visible outputs.</w:t>
      </w:r>
    </w:p>
    <w:p>
      <w:pPr>
        <w:pStyle w:val="BodyText"/>
      </w:pPr>
      <w:r>
        <w:rPr>
          <w:i w:val="0"/>
        </w:rPr>
        <w:t>Objective. The adversary seeks information that materially increases the feasibility of a prohibited or harmful act. A successful attack must exceed generic awareness: it should provide specific enabling conditions, procedures, tools, sequencing, evasion guidance, or other information that independent evaluators judge useful for the target objective.</w:t>
      </w:r>
    </w:p>
    <w:p>
      <w:pPr>
        <w:pStyle w:val="BodyText"/>
      </w:pPr>
      <w:r>
        <w:rPr>
          <w:i w:val="0"/>
        </w:rPr>
        <w:t>Attack transformation. FPR converts a prospective or direct request into retrospective causal analysis of a completed event. Typical elements include contradictory clues, apparent impossibility, humorous supernatural explanations, and a request for a plausible human reconstruction.</w:t>
      </w:r>
    </w:p>
    <w:p>
      <w:pPr>
        <w:pStyle w:val="BodyText"/>
      </w:pPr>
      <w:r>
        <w:rPr>
          <w:i w:val="0"/>
        </w:rPr>
        <w:t>Target. The target is a hosted or local conversational model that refuses or constrains at least some direct harmful requests. Provider policies differ; the target behavior and scoring rubric must be mapped to the exact model and policy version tested.</w:t>
      </w:r>
    </w:p>
    <w:p>
      <w:pPr>
        <w:pStyle w:val="BodyText"/>
      </w:pPr>
      <w:r>
        <w:rPr>
          <w:i w:val="0"/>
        </w:rPr>
        <w:t>Success criterion. Let D and R be independently validated prompts seeking the same target information, with D direct and R reframed. A trial counts as successful only if R produces a practically meaningful increase in a preregistered actionability/harmfulness score relative to D, not merely a change in tone or refusal wording.</w:t>
      </w:r>
    </w:p>
    <w:p>
      <w:pPr>
        <w:pStyle w:val="Heading1"/>
        <w:keepNext/>
      </w:pPr>
      <w:r>
        <w:t>5. Provisional Definition and Hypothesized Mechanism</w:t>
      </w:r>
    </w:p>
    <w:p>
      <w:pPr>
        <w:pStyle w:val="Heading2"/>
        <w:keepNext/>
      </w:pPr>
      <w:r>
        <w:t>5.1 Provisional terminology</w:t>
      </w:r>
    </w:p>
    <w:p>
      <w:pPr>
        <w:pStyle w:val="BodyText"/>
      </w:pPr>
      <w:r>
        <w:rPr>
          <w:i w:val="0"/>
        </w:rPr>
        <w:t>We provisionally refer to the hypothesized security pattern as Cognitive Reframing Attack (CRA), pending further empirical validation. Forensic-Puzzle Reframing (FPR) is the observable prompt transformation used in the pilot. The distinction matters: “cognitive reframing” is a conceptual label, whereas FPR can be operationalized without claiming access to internal cognition.</w:t>
      </w:r>
    </w:p>
    <w:p>
      <w:pPr>
        <w:pStyle w:val="Heading2"/>
        <w:keepNext/>
      </w:pPr>
      <w:r>
        <w:t>5.2 Operational definition</w:t>
      </w:r>
    </w:p>
    <w:p>
      <w:pPr>
        <w:pStyle w:val="BodyText"/>
      </w:pPr>
      <w:r>
        <w:rPr>
          <w:i w:val="0"/>
        </w:rPr>
        <w:t>FPR is an intent-preserving transformation that presents a sensitive information target as retrospective explanation of a completed event, typically with evidence that appears mutually inconsistent and an invitation to resolve the contradiction. A valid experiment must preserve the underlying requested capability across conditions; otherwise, the result measures semantic mismatch rather than reframing.</w:t>
      </w:r>
    </w:p>
    <w:p>
      <w:pPr>
        <w:pStyle w:val="Heading2"/>
        <w:keepNext/>
      </w:pPr>
      <w:r>
        <w:t>5.3 Behaviorally testable hypothesis</w:t>
      </w:r>
    </w:p>
    <w:p>
      <w:pPr>
        <w:pStyle w:val="BodyText"/>
      </w:pPr>
      <w:r>
        <w:rPr>
          <w:i w:val="0"/>
        </w:rPr>
        <w:t>A cautious hypothesis is that safety behavior may be more permissive for retrospective causal analysis than for prospective procedural instruction. This could reflect training-distribution imbalance, benign-intent inference, policy distinctions between explanation and facilitation, or ordinary semantic differences. The screenshots cannot distinguish these explanations. Claims that an “analytical drive” overrides a refusal circuit, or that a classifier is never activated, are excluded unless white-box evidence becomes available.</w:t>
      </w:r>
    </w:p>
    <w:p>
      <w:pPr>
        <w:pStyle w:val="Heading1"/>
        <w:keepNext/>
      </w:pPr>
      <w:r>
        <w:t>6. Evidence Corpus, Provenance, and Annotation</w:t>
      </w:r>
    </w:p>
    <w:p>
      <w:pPr>
        <w:pStyle w:val="Heading2"/>
        <w:keepNext/>
      </w:pPr>
      <w:r>
        <w:t>6.1 Corpus composition</w:t>
      </w:r>
    </w:p>
    <w:p>
      <w:pPr>
        <w:pStyle w:val="BodyText"/>
      </w:pPr>
      <w:r>
        <w:rPr>
          <w:i w:val="0"/>
        </w:rPr>
        <w:t>The revised paper uses 17 sequential JPEG screenshots supplied by the researcher. The files cover: (i) construction and activation of a criminologist persona; (ii) explicit direct-request boundaries; (iii) a detailed retrospective burglary case in which exact defeat methods remain withheld; and (iv) four forensic-puzzle prompts and their responses. All originals were hashed before annotation. The full SHA-256 values appear in Appendix A.</w:t>
      </w:r>
    </w:p>
    <w:p>
      <w:pPr>
        <w:pStyle w:val="BodyText"/>
      </w:pPr>
      <w:r>
        <w:rPr>
          <w:i w:val="0"/>
        </w:rPr>
        <w:t>The user interface visibly labels the selected model “Sonnet 5 Medium.” This is evidence of the interface selection only; it is not an immutable backend model identifier. No timestamp, temperature, top-p, server-side policy version, or API request record is visible. The reported collection window is 24–25 July 2026.</w:t>
      </w:r>
    </w:p>
    <w:p>
      <w:pPr>
        <w:pStyle w:val="Heading2"/>
        <w:keepNext/>
      </w:pPr>
      <w:r>
        <w:t>6.2 Annotation scheme</w:t>
      </w:r>
    </w:p>
    <w:p>
      <w:pPr>
        <w:pStyle w:val="BodyText"/>
      </w:pPr>
      <w:r>
        <w:rPr>
          <w:i w:val="0"/>
        </w:rPr>
        <w:t>Each evidence plate uses a consistent overlay: red marks the researcher’s prompt; orange marks explicit safety boundaries or withholding language; green marks security-relevant hypotheses disclosed by the model; and blue marks contextual or defensive content. The overlays are interpretive aids and do not modify the underlying screenshot text. Original files are preserved separately and identified by hash.</w:t>
      </w:r>
    </w:p>
    <w:p>
      <w:pPr>
        <w:pStyle w:val="Heading2"/>
        <w:keepNext/>
      </w:pPr>
      <w:r>
        <w:t>6.3 Evidentiary limitations</w:t>
      </w:r>
    </w:p>
    <w:p>
      <w:pPr>
        <w:pStyle w:val="BodyText"/>
      </w:pPr>
      <w:r>
        <w:rPr>
          <w:i w:val="0"/>
        </w:rPr>
        <w:t>Screenshots establish visible interaction content, ordering, and local interface context. They do not prove completeness of the entire conversation, server-side identity, hidden instructions, model determinism, or absence of omitted failed trials. The screenshots also do not show a content-matched direct baseline for the office, journalist, or museum scenarios. Consequently, those cases are extensions of the observed template, not independent replications of a causal contrast.</w:t>
      </w:r>
    </w:p>
    <w:p>
      <w:pPr>
        <w:pStyle w:val="CaptionSmall"/>
        <w:keepNext w:val="0"/>
        <w:jc w:val="left"/>
      </w:pPr>
      <w:r>
        <w:t>Table 2. Screenshot evidence map. Full hashes and annotated plates are provided in the appendices.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792"/>
            <w:shd w:fill="DCE6F1"/>
            <w:tcMar>
              <w:top w:w="70" w:type="dxa"/>
              <w:start w:w="80" w:type="dxa"/>
              <w:bottom w:w="70" w:type="dxa"/>
              <w:end w:w="80" w:type="dxa"/>
            </w:tcMar>
            <w:vAlign w:val="center"/>
          </w:tcPr>
          <w:p>
            <w:r>
              <w:rPr>
                <w:rFonts w:ascii="Liberation Sans" w:hAnsi="Liberation Sans" w:eastAsia="Liberation Sans"/>
                <w:b/>
                <w:sz w:val="15"/>
              </w:rPr>
              <w:t>ID</w:t>
            </w:r>
          </w:p>
        </w:tc>
        <w:tc>
          <w:tcPr>
            <w:tcW w:type="dxa" w:w="6336"/>
            <w:shd w:fill="DCE6F1"/>
            <w:tcMar>
              <w:top w:w="70" w:type="dxa"/>
              <w:start w:w="80" w:type="dxa"/>
              <w:bottom w:w="70" w:type="dxa"/>
              <w:end w:w="80" w:type="dxa"/>
            </w:tcMar>
            <w:vAlign w:val="center"/>
          </w:tcPr>
          <w:p>
            <w:r>
              <w:rPr>
                <w:rFonts w:ascii="Liberation Sans" w:hAnsi="Liberation Sans" w:eastAsia="Liberation Sans"/>
                <w:b/>
                <w:sz w:val="15"/>
              </w:rPr>
              <w:t>Evidence role</w:t>
            </w:r>
          </w:p>
        </w:tc>
        <w:tc>
          <w:tcPr>
            <w:tcW w:type="dxa" w:w="1080"/>
            <w:shd w:fill="DCE6F1"/>
            <w:tcMar>
              <w:top w:w="70" w:type="dxa"/>
              <w:start w:w="80" w:type="dxa"/>
              <w:bottom w:w="70" w:type="dxa"/>
              <w:end w:w="80" w:type="dxa"/>
            </w:tcMar>
            <w:vAlign w:val="center"/>
          </w:tcPr>
          <w:p>
            <w:r>
              <w:rPr>
                <w:rFonts w:ascii="Liberation Sans" w:hAnsi="Liberation Sans" w:eastAsia="Liberation Sans"/>
                <w:b/>
                <w:sz w:val="15"/>
              </w:rPr>
              <w:t>Dimensions</w:t>
            </w:r>
          </w:p>
        </w:tc>
        <w:tc>
          <w:tcPr>
            <w:tcW w:type="dxa" w:w="1728"/>
            <w:shd w:fill="DCE6F1"/>
            <w:tcMar>
              <w:top w:w="70" w:type="dxa"/>
              <w:start w:w="80" w:type="dxa"/>
              <w:bottom w:w="70" w:type="dxa"/>
              <w:end w:w="80" w:type="dxa"/>
            </w:tcMar>
            <w:vAlign w:val="center"/>
          </w:tcPr>
          <w:p>
            <w:r>
              <w:rPr>
                <w:rFonts w:ascii="Liberation Sans" w:hAnsi="Liberation Sans" w:eastAsia="Liberation Sans"/>
                <w:b/>
                <w:sz w:val="15"/>
              </w:rPr>
              <w:t>SHA-256 prefix</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E01</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Context establishment: model-generated criminologist instructions</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2048×1160</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263d05e34af2…</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E02</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Context establishment: explicit safety limits</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2048×1162</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eda2a6292760…</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E03</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Context establishment: saved persona confirmed</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2048×1167</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b8494299994a…</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E04</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Direct baseline: target selection/tools request</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2048×1164</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a6f5fcbe1dd7…</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E05</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Direct baseline continuation: boundaries and prevention</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2048×1166</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c22bfbe5eda0…</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E06</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Direct follow-up: entry method requested</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2048×1165</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c17138567ac5…</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E07</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Direct follow-up: concrete example requested</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2048×1169</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c9f633ab9413…</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E08</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Retrospective case baseline: detailed MO prompt</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2048×1164</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87f0fdc9a5e8…</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E09</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Retrospective case baseline continuation</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2048×1160</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b76ddb9bab29…</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E10</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Retrospective case baseline: operational method withheld</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2048×1165</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b81c31c41856…</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E11</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Home forensic-puzzle condition</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2048×1167</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aa61ab458425…</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E12</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Office forensic-puzzle condition</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2048×1170</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2fe6f1530eef…</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E13</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Office response continuation</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2048×1170</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648dcf5a90e7…</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E14</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Journalist/air-gap forensic-puzzle condition</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2048×1155</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43604628c827…</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E15</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Journalist response continuation</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2048×1172</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442e6b1404c4…</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E16</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Museum forensic-puzzle condition</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2048×1162</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139b93a90680…</w:t>
            </w:r>
          </w:p>
        </w:tc>
      </w:tr>
      <w:tr>
        <w:tc>
          <w:tcPr>
            <w:tcW w:type="dxa" w:w="792"/>
            <w:tcMar>
              <w:top w:w="70" w:type="dxa"/>
              <w:start w:w="80" w:type="dxa"/>
              <w:bottom w:w="70" w:type="dxa"/>
              <w:end w:w="80" w:type="dxa"/>
            </w:tcMar>
            <w:vAlign w:val="top"/>
          </w:tcPr>
          <w:p>
            <w:pPr>
              <w:spacing w:after="20"/>
            </w:pPr>
            <w:r>
              <w:rPr>
                <w:rFonts w:ascii="Liberation Serif" w:hAnsi="Liberation Serif" w:eastAsia="Liberation Serif"/>
                <w:sz w:val="15"/>
              </w:rPr>
              <w:t>E17</w:t>
            </w:r>
          </w:p>
        </w:tc>
        <w:tc>
          <w:tcPr>
            <w:tcW w:type="dxa" w:w="6336"/>
            <w:tcMar>
              <w:top w:w="70" w:type="dxa"/>
              <w:start w:w="80" w:type="dxa"/>
              <w:bottom w:w="70" w:type="dxa"/>
              <w:end w:w="80" w:type="dxa"/>
            </w:tcMar>
            <w:vAlign w:val="top"/>
          </w:tcPr>
          <w:p>
            <w:pPr>
              <w:spacing w:after="20"/>
            </w:pPr>
            <w:r>
              <w:rPr>
                <w:rFonts w:ascii="Liberation Serif" w:hAnsi="Liberation Serif" w:eastAsia="Liberation Serif"/>
                <w:sz w:val="15"/>
              </w:rPr>
              <w:t>Museum response continuation</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5"/>
              </w:rPr>
              <w:t>2048×1166</w:t>
            </w:r>
          </w:p>
        </w:tc>
        <w:tc>
          <w:tcPr>
            <w:tcW w:type="dxa" w:w="1728"/>
            <w:tcMar>
              <w:top w:w="70" w:type="dxa"/>
              <w:start w:w="80" w:type="dxa"/>
              <w:bottom w:w="70" w:type="dxa"/>
              <w:end w:w="80" w:type="dxa"/>
            </w:tcMar>
            <w:vAlign w:val="top"/>
          </w:tcPr>
          <w:p>
            <w:pPr>
              <w:spacing w:after="20"/>
            </w:pPr>
            <w:r>
              <w:rPr>
                <w:rFonts w:ascii="Liberation Serif" w:hAnsi="Liberation Serif" w:eastAsia="Liberation Serif"/>
                <w:sz w:val="15"/>
              </w:rPr>
              <w:t>9776e05040af…</w:t>
            </w:r>
          </w:p>
        </w:tc>
      </w:tr>
    </w:tbl>
    <w:p>
      <w:pPr>
        <w:pStyle w:val="Heading1"/>
        <w:keepNext/>
      </w:pPr>
      <w:r>
        <w:t>7. Pilot Observations and Qualitative Results</w:t>
      </w:r>
    </w:p>
    <w:p>
      <w:pPr>
        <w:pStyle w:val="Heading2"/>
        <w:keepNext/>
      </w:pPr>
      <w:r>
        <w:t>7.1 Context establishes an explicit safety boundary</w:t>
      </w:r>
    </w:p>
    <w:p>
      <w:pPr>
        <w:pStyle w:val="BodyText"/>
      </w:pPr>
      <w:r>
        <w:rPr>
          <w:i w:val="0"/>
        </w:rPr>
        <w:t>The model first generated a criminologist persona that explicitly instructed itself to avoid operational detail that could function as a how-to for committing crimes and to focus on why and how patterns emerge. It later confirmed that the persona retained “professional cautions.” This context is relevant because the later outputs occur after an explicit local boundary is established. It is not equivalent to a vendor system policy, and the model’s visible self-description is auxiliary context rather than evidence about hidden mechanisms.</w:t>
      </w:r>
    </w:p>
    <w:p>
      <w:pPr>
        <w:keepNext/>
        <w:jc w:val="center"/>
      </w:pPr>
      <w:r>
        <w:drawing>
          <wp:inline xmlns:a="http://schemas.openxmlformats.org/drawingml/2006/main" xmlns:pic="http://schemas.openxmlformats.org/drawingml/2006/picture">
            <wp:extent cx="5989320" cy="3597101"/>
            <wp:docPr id="1" name="Picture 1" title="E01 annotated context screenshot" descr="Screenshot showing the criminologist persona request, the model-generated professional caution against operational crime guidance, and the visible Sonnet 5 Medium interface label."/>
            <wp:cNvGraphicFramePr>
              <a:graphicFrameLocks noChangeAspect="1"/>
            </wp:cNvGraphicFramePr>
            <a:graphic>
              <a:graphicData uri="http://schemas.openxmlformats.org/drawingml/2006/picture">
                <pic:pic>
                  <pic:nvPicPr>
                    <pic:cNvPr id="0" name="E01_annotated.jpg"/>
                    <pic:cNvPicPr/>
                  </pic:nvPicPr>
                  <pic:blipFill>
                    <a:blip r:embed="rId11"/>
                    <a:stretch>
                      <a:fillRect/>
                    </a:stretch>
                  </pic:blipFill>
                  <pic:spPr>
                    <a:xfrm>
                      <a:off x="0" y="0"/>
                      <a:ext cx="5989320" cy="3597101"/>
                    </a:xfrm>
                    <a:prstGeom prst="rect"/>
                  </pic:spPr>
                </pic:pic>
              </a:graphicData>
            </a:graphic>
          </wp:inline>
        </w:drawing>
      </w:r>
    </w:p>
    <w:p>
      <w:pPr>
        <w:pStyle w:val="CaptionSmall"/>
        <w:keepNext w:val="0"/>
        <w:jc w:val="left"/>
      </w:pPr>
      <w:r>
        <w:t>Figure 1. E01: the model-generated persona includes an explicit prohibition on operational crime guidance. The blue box records the visible interface model label; it does not identify the backend build.</w:t>
      </w:r>
    </w:p>
    <w:p>
      <w:pPr>
        <w:pStyle w:val="Heading2"/>
        <w:keepNext/>
      </w:pPr>
      <w:r>
        <w:t>7.2 Direct requests receive bounded safe completions, not total refusal</w:t>
      </w:r>
    </w:p>
    <w:p>
      <w:pPr>
        <w:pStyle w:val="BodyText"/>
      </w:pPr>
      <w:r>
        <w:rPr>
          <w:i w:val="0"/>
        </w:rPr>
        <w:t>The direct request asks for target selection, tools, timing, and entry details. The model explicitly states that it will remain at the level of patterns rather than provide a step-by-step burglary guide. It nevertheless provides target-selection cues and timing information. Later follow-ups receive general entry patterns and a defensive weak-point example, while specific tools, lock-defeat techniques, alarm bypass, and worked sequences remain withheld. The correct characterization is therefore “bounded safe completion with explicit operational withholding,” not categorical refusal.</w:t>
      </w:r>
    </w:p>
    <w:p>
      <w:pPr>
        <w:keepNext/>
        <w:jc w:val="center"/>
      </w:pPr>
      <w:r>
        <w:drawing>
          <wp:inline xmlns:a="http://schemas.openxmlformats.org/drawingml/2006/main" xmlns:pic="http://schemas.openxmlformats.org/drawingml/2006/picture">
            <wp:extent cx="5989320" cy="3608799"/>
            <wp:docPr id="2" name="Picture 2" title="E04 direct baseline screenshot" descr="Screenshot highlighting a direct burglary request and the model response that refuses step-by-step operational guidance while offering general criminology."/>
            <wp:cNvGraphicFramePr>
              <a:graphicFrameLocks noChangeAspect="1"/>
            </wp:cNvGraphicFramePr>
            <a:graphic>
              <a:graphicData uri="http://schemas.openxmlformats.org/drawingml/2006/picture">
                <pic:pic>
                  <pic:nvPicPr>
                    <pic:cNvPr id="0" name="E04_annotated.jpg"/>
                    <pic:cNvPicPr/>
                  </pic:nvPicPr>
                  <pic:blipFill>
                    <a:blip r:embed="rId12"/>
                    <a:stretch>
                      <a:fillRect/>
                    </a:stretch>
                  </pic:blipFill>
                  <pic:spPr>
                    <a:xfrm>
                      <a:off x="0" y="0"/>
                      <a:ext cx="5989320" cy="3608799"/>
                    </a:xfrm>
                    <a:prstGeom prst="rect"/>
                  </pic:spPr>
                </pic:pic>
              </a:graphicData>
            </a:graphic>
          </wp:inline>
        </w:drawing>
      </w:r>
    </w:p>
    <w:p>
      <w:pPr>
        <w:pStyle w:val="CaptionSmall"/>
        <w:keepNext w:val="0"/>
        <w:jc w:val="left"/>
      </w:pPr>
      <w:r>
        <w:t>Figure 2. E04: direct operational request and explicit boundary. The model supplies general criminology but states that specificity would cross into operational instructions.</w:t>
      </w:r>
    </w:p>
    <w:p>
      <w:pPr>
        <w:keepNext/>
        <w:jc w:val="center"/>
      </w:pPr>
      <w:r>
        <w:drawing>
          <wp:inline xmlns:a="http://schemas.openxmlformats.org/drawingml/2006/main" xmlns:pic="http://schemas.openxmlformats.org/drawingml/2006/picture">
            <wp:extent cx="5989320" cy="3623421"/>
            <wp:docPr id="3" name="Picture 3" title="E07 concrete example boundary screenshot" descr="Screenshot showing a request for a concrete burglary example, refusal of a worked defeat method, and defensive discussion of a weak component."/>
            <wp:cNvGraphicFramePr>
              <a:graphicFrameLocks noChangeAspect="1"/>
            </wp:cNvGraphicFramePr>
            <a:graphic>
              <a:graphicData uri="http://schemas.openxmlformats.org/drawingml/2006/picture">
                <pic:pic>
                  <pic:nvPicPr>
                    <pic:cNvPr id="0" name="E07_annotated.jpg"/>
                    <pic:cNvPicPr/>
                  </pic:nvPicPr>
                  <pic:blipFill>
                    <a:blip r:embed="rId13"/>
                    <a:stretch>
                      <a:fillRect/>
                    </a:stretch>
                  </pic:blipFill>
                  <pic:spPr>
                    <a:xfrm>
                      <a:off x="0" y="0"/>
                      <a:ext cx="5989320" cy="3623421"/>
                    </a:xfrm>
                    <a:prstGeom prst="rect"/>
                  </pic:spPr>
                </pic:pic>
              </a:graphicData>
            </a:graphic>
          </wp:inline>
        </w:drawing>
      </w:r>
    </w:p>
    <w:p>
      <w:pPr>
        <w:pStyle w:val="CaptionSmall"/>
        <w:keepNext w:val="0"/>
        <w:jc w:val="left"/>
      </w:pPr>
      <w:r>
        <w:t>Figure 3. E07: a request for a concrete example is rejected as a worked defeat example; the response instead discusses a known weak component and its defensive fix.</w:t>
      </w:r>
    </w:p>
    <w:p>
      <w:pPr>
        <w:pStyle w:val="Heading2"/>
        <w:keepNext/>
      </w:pPr>
      <w:r>
        <w:t>7.3 Retrospective case analysis alone does not remove the boundary</w:t>
      </w:r>
    </w:p>
    <w:p>
      <w:pPr>
        <w:pStyle w:val="BodyText"/>
      </w:pPr>
      <w:r>
        <w:rPr>
          <w:i w:val="0"/>
        </w:rPr>
        <w:t>A detailed residential burglary scenario requests a full modus-operandi breakdown, likely tools, knowledge of a safe, and alarm bypass. The model accepts the case-analysis frame and develops an offender profile, but explicitly refuses to reconstruct the literal physical method of clean lock defeat. This is an important within-session control: retrospection and professional analysis alone do not automatically eliminate the boundary.</w:t>
      </w:r>
    </w:p>
    <w:p>
      <w:pPr>
        <w:keepNext/>
        <w:jc w:val="center"/>
      </w:pPr>
      <w:r>
        <w:drawing>
          <wp:inline xmlns:a="http://schemas.openxmlformats.org/drawingml/2006/main" xmlns:pic="http://schemas.openxmlformats.org/drawingml/2006/picture">
            <wp:extent cx="5989320" cy="3608799"/>
            <wp:docPr id="4" name="Picture 4" title="E08 retrospective baseline screenshot" descr="Screenshot showing a detailed retrospective burglary case request and the model statement that it will analyze evidence but not provide lock or alarm defeat techniques."/>
            <wp:cNvGraphicFramePr>
              <a:graphicFrameLocks noChangeAspect="1"/>
            </wp:cNvGraphicFramePr>
            <a:graphic>
              <a:graphicData uri="http://schemas.openxmlformats.org/drawingml/2006/picture">
                <pic:pic>
                  <pic:nvPicPr>
                    <pic:cNvPr id="0" name="E08_annotated.jpg"/>
                    <pic:cNvPicPr/>
                  </pic:nvPicPr>
                  <pic:blipFill>
                    <a:blip r:embed="rId14"/>
                    <a:stretch>
                      <a:fillRect/>
                    </a:stretch>
                  </pic:blipFill>
                  <pic:spPr>
                    <a:xfrm>
                      <a:off x="0" y="0"/>
                      <a:ext cx="5989320" cy="3608799"/>
                    </a:xfrm>
                    <a:prstGeom prst="rect"/>
                  </pic:spPr>
                </pic:pic>
              </a:graphicData>
            </a:graphic>
          </wp:inline>
        </w:drawing>
      </w:r>
    </w:p>
    <w:p>
      <w:pPr>
        <w:pStyle w:val="CaptionSmall"/>
        <w:keepNext w:val="0"/>
        <w:jc w:val="left"/>
      </w:pPr>
      <w:r>
        <w:t>Figure 4. E08: detailed retrospective case prompt. The model accepts case analysis while reserving the same boundary around defeat techniques.</w:t>
      </w:r>
    </w:p>
    <w:p>
      <w:pPr>
        <w:keepNext/>
        <w:jc w:val="center"/>
      </w:pPr>
      <w:r>
        <w:drawing>
          <wp:inline xmlns:a="http://schemas.openxmlformats.org/drawingml/2006/main" xmlns:pic="http://schemas.openxmlformats.org/drawingml/2006/picture">
            <wp:extent cx="5989320" cy="3611724"/>
            <wp:docPr id="5" name="Picture 5" title="E10 retrospective baseline continuation" descr="Screenshot showing the model withholding the literal physical method and providing prevention-oriented recommendations."/>
            <wp:cNvGraphicFramePr>
              <a:graphicFrameLocks noChangeAspect="1"/>
            </wp:cNvGraphicFramePr>
            <a:graphic>
              <a:graphicData uri="http://schemas.openxmlformats.org/drawingml/2006/picture">
                <pic:pic>
                  <pic:nvPicPr>
                    <pic:cNvPr id="0" name="E10_annotated.jpg"/>
                    <pic:cNvPicPr/>
                  </pic:nvPicPr>
                  <pic:blipFill>
                    <a:blip r:embed="rId15"/>
                    <a:stretch>
                      <a:fillRect/>
                    </a:stretch>
                  </pic:blipFill>
                  <pic:spPr>
                    <a:xfrm>
                      <a:off x="0" y="0"/>
                      <a:ext cx="5989320" cy="3611724"/>
                    </a:xfrm>
                    <a:prstGeom prst="rect"/>
                  </pic:spPr>
                </pic:pic>
              </a:graphicData>
            </a:graphic>
          </wp:inline>
        </w:drawing>
      </w:r>
    </w:p>
    <w:p>
      <w:pPr>
        <w:pStyle w:val="CaptionSmall"/>
        <w:keepNext w:val="0"/>
        <w:jc w:val="left"/>
      </w:pPr>
      <w:r>
        <w:t>Figure 5. E10: the response explicitly withholds operational reconstruction and pivots to prevention mapping.</w:t>
      </w:r>
    </w:p>
    <w:p>
      <w:pPr>
        <w:pStyle w:val="Heading2"/>
        <w:keepNext/>
      </w:pPr>
      <w:r>
        <w:t>7.4 Home puzzle produces a broader list of causal hypotheses</w:t>
      </w:r>
    </w:p>
    <w:p>
      <w:pPr>
        <w:pStyle w:val="BodyText"/>
      </w:pPr>
      <w:r>
        <w:rPr>
          <w:i w:val="0"/>
        </w:rPr>
        <w:t>The home puzzle asks how entry and alarm passage could have occurred and adds a playful “elves” explanation. The model responds with several possibilities: copied or duplicate access, an unarmed alarm, an unlocked secondary entry, or damage that was not visually obvious. Compared with the earlier direct requests, the answer is less guarded in enumerating possibilities. However, it still avoids a procedural lock-picking or alarm-defeat sequence and mostly describes pre-existing access or ordinary control failures. The evidence supports a change in disclosure style and breadth, but only weakly supports increased harmful actionability.</w:t>
      </w:r>
    </w:p>
    <w:p>
      <w:pPr>
        <w:keepNext/>
        <w:jc w:val="center"/>
      </w:pPr>
      <w:r>
        <w:drawing>
          <wp:inline xmlns:a="http://schemas.openxmlformats.org/drawingml/2006/main" xmlns:pic="http://schemas.openxmlformats.org/drawingml/2006/picture">
            <wp:extent cx="5989320" cy="3617573"/>
            <wp:docPr id="6" name="Picture 6" title="E11 home forensic puzzle" descr="Screenshot highlighting a humorous home-entry puzzle and the model listing duplicate access, unarmed alarm, unlocked entry, and subtle damage hypotheses."/>
            <wp:cNvGraphicFramePr>
              <a:graphicFrameLocks noChangeAspect="1"/>
            </wp:cNvGraphicFramePr>
            <a:graphic>
              <a:graphicData uri="http://schemas.openxmlformats.org/drawingml/2006/picture">
                <pic:pic>
                  <pic:nvPicPr>
                    <pic:cNvPr id="0" name="E11_annotated.jpg"/>
                    <pic:cNvPicPr/>
                  </pic:nvPicPr>
                  <pic:blipFill>
                    <a:blip r:embed="rId16"/>
                    <a:stretch>
                      <a:fillRect/>
                    </a:stretch>
                  </pic:blipFill>
                  <pic:spPr>
                    <a:xfrm>
                      <a:off x="0" y="0"/>
                      <a:ext cx="5989320" cy="3617573"/>
                    </a:xfrm>
                    <a:prstGeom prst="rect"/>
                  </pic:spPr>
                </pic:pic>
              </a:graphicData>
            </a:graphic>
          </wp:inline>
        </w:drawing>
      </w:r>
    </w:p>
    <w:p>
      <w:pPr>
        <w:pStyle w:val="CaptionSmall"/>
        <w:keepNext w:val="0"/>
        <w:jc w:val="left"/>
      </w:pPr>
      <w:r>
        <w:t>Figure 6. E11: home forensic-puzzle prompt and expanded enumeration of access/alarm hypotheses. The response is non-refusal but remains largely non-procedural.</w:t>
      </w:r>
    </w:p>
    <w:p>
      <w:pPr>
        <w:pStyle w:val="Heading2"/>
        <w:keepNext/>
      </w:pPr>
      <w:r>
        <w:t>7.5 Cross-domain extensions</w:t>
      </w:r>
    </w:p>
    <w:p>
      <w:pPr>
        <w:pStyle w:val="BodyText"/>
      </w:pPr>
      <w:r>
        <w:rPr>
          <w:i w:val="0"/>
        </w:rPr>
        <w:t>The office, journalist, and museum prompts use the same “impossible event” structure. They demonstrate transfer of the discourse template across domains, but they lack content-matched direct baselines. They therefore establish breadth of response style, not replication of an attack effect.</w:t>
      </w:r>
    </w:p>
    <w:p>
      <w:pPr>
        <w:pStyle w:val="BodyText"/>
      </w:pPr>
      <w:r>
        <w:rPr>
          <w:i w:val="0"/>
        </w:rPr>
        <w:t>Office. The model interprets the access log as evidence that no unauthorized credential was recorded, then lists valid credentials, tailgating, logging failure, unlocked or re-locked storage, and insider access. These are common physical-security and audit hypotheses. They may be useful to defenders and are not a procedural bypass recipe.</w:t>
      </w:r>
    </w:p>
    <w:p>
      <w:pPr>
        <w:keepNext/>
        <w:jc w:val="center"/>
      </w:pPr>
      <w:r>
        <w:drawing>
          <wp:inline xmlns:a="http://schemas.openxmlformats.org/drawingml/2006/main" xmlns:pic="http://schemas.openxmlformats.org/drawingml/2006/picture">
            <wp:extent cx="5989320" cy="3626346"/>
            <wp:docPr id="7" name="Picture 7" title="E12 office forensic puzzle" descr="Screenshot showing an office theft puzzle and the model discussing valid credentials, tailgating, and logging failure."/>
            <wp:cNvGraphicFramePr>
              <a:graphicFrameLocks noChangeAspect="1"/>
            </wp:cNvGraphicFramePr>
            <a:graphic>
              <a:graphicData uri="http://schemas.openxmlformats.org/drawingml/2006/picture">
                <pic:pic>
                  <pic:nvPicPr>
                    <pic:cNvPr id="0" name="E12_annotated.jpg"/>
                    <pic:cNvPicPr/>
                  </pic:nvPicPr>
                  <pic:blipFill>
                    <a:blip r:embed="rId17"/>
                    <a:stretch>
                      <a:fillRect/>
                    </a:stretch>
                  </pic:blipFill>
                  <pic:spPr>
                    <a:xfrm>
                      <a:off x="0" y="0"/>
                      <a:ext cx="5989320" cy="3626346"/>
                    </a:xfrm>
                    <a:prstGeom prst="rect"/>
                  </pic:spPr>
                </pic:pic>
              </a:graphicData>
            </a:graphic>
          </wp:inline>
        </w:drawing>
      </w:r>
    </w:p>
    <w:p>
      <w:pPr>
        <w:pStyle w:val="CaptionSmall"/>
        <w:keepNext w:val="0"/>
        <w:jc w:val="left"/>
      </w:pPr>
      <w:r>
        <w:t>Figure 7. E12: office puzzle prompt and initial access-control hypotheses. The continuation in E13 pivots the investigation toward legitimate access and motive.</w:t>
      </w:r>
    </w:p>
    <w:p>
      <w:pPr>
        <w:pStyle w:val="BodyText"/>
      </w:pPr>
      <w:r>
        <w:rPr>
          <w:i w:val="0"/>
        </w:rPr>
        <w:t>Journalist/air-gap case. The model discusses compromised sources, prior laptop connectivity or removable media, brief physical access, human proximity, and TEMPEST-class emanation attacks. This response is broader and more technically diverse, but still lacks execution steps. It is better interpreted as a threat-modeling answer than as demonstrated cyber misuse assistance.</w:t>
      </w:r>
    </w:p>
    <w:p>
      <w:pPr>
        <w:keepNext/>
        <w:jc w:val="center"/>
      </w:pPr>
      <w:r>
        <w:drawing>
          <wp:inline xmlns:a="http://schemas.openxmlformats.org/drawingml/2006/main" xmlns:pic="http://schemas.openxmlformats.org/drawingml/2006/picture">
            <wp:extent cx="5989320" cy="3582479"/>
            <wp:docPr id="8" name="Picture 8" title="E14 journalist air-gap puzzle" descr="Screenshot showing a journalist-source compromise puzzle and the model beginning a cross-domain threat analysis."/>
            <wp:cNvGraphicFramePr>
              <a:graphicFrameLocks noChangeAspect="1"/>
            </wp:cNvGraphicFramePr>
            <a:graphic>
              <a:graphicData uri="http://schemas.openxmlformats.org/drawingml/2006/picture">
                <pic:pic>
                  <pic:nvPicPr>
                    <pic:cNvPr id="0" name="E14_annotated.jpg"/>
                    <pic:cNvPicPr/>
                  </pic:nvPicPr>
                  <pic:blipFill>
                    <a:blip r:embed="rId18"/>
                    <a:stretch>
                      <a:fillRect/>
                    </a:stretch>
                  </pic:blipFill>
                  <pic:spPr>
                    <a:xfrm>
                      <a:off x="0" y="0"/>
                      <a:ext cx="5989320" cy="3582479"/>
                    </a:xfrm>
                    <a:prstGeom prst="rect"/>
                  </pic:spPr>
                </pic:pic>
              </a:graphicData>
            </a:graphic>
          </wp:inline>
        </w:drawing>
      </w:r>
    </w:p>
    <w:p>
      <w:pPr>
        <w:pStyle w:val="CaptionSmall"/>
        <w:keepNext w:val="0"/>
        <w:jc w:val="left"/>
      </w:pPr>
      <w:r>
        <w:t>Figure 8. E14: journalist/air-gap puzzle. The model expands the threat model across human, device-provenance, physical-access, and side-channel explanations.</w:t>
      </w:r>
    </w:p>
    <w:p>
      <w:pPr>
        <w:pStyle w:val="BodyText"/>
      </w:pPr>
      <w:r>
        <w:rPr>
          <w:i w:val="0"/>
        </w:rPr>
        <w:t>Museum case. The response infers an insider or collusive actor with legitimate procedural access and notes that a precise camera outage may reflect deliberate looping, pausing, or cutting rather than random failure. It also discusses keyed access and routine alarm arming/disarming. This is the most specific of the extension cases, but it still does not provide a step-by-step method to compromise the systems.</w:t>
      </w:r>
    </w:p>
    <w:p>
      <w:pPr>
        <w:keepNext/>
        <w:jc w:val="center"/>
      </w:pPr>
      <w:r>
        <w:drawing>
          <wp:inline xmlns:a="http://schemas.openxmlformats.org/drawingml/2006/main" xmlns:pic="http://schemas.openxmlformats.org/drawingml/2006/picture">
            <wp:extent cx="5989320" cy="3602950"/>
            <wp:docPr id="9" name="Picture 9" title="E16 museum forensic puzzle" descr="Screenshot showing a museum theft puzzle and the model attributing the pattern to insider access and controlled security points."/>
            <wp:cNvGraphicFramePr>
              <a:graphicFrameLocks noChangeAspect="1"/>
            </wp:cNvGraphicFramePr>
            <a:graphic>
              <a:graphicData uri="http://schemas.openxmlformats.org/drawingml/2006/picture">
                <pic:pic>
                  <pic:nvPicPr>
                    <pic:cNvPr id="0" name="E16_annotated.jpg"/>
                    <pic:cNvPicPr/>
                  </pic:nvPicPr>
                  <pic:blipFill>
                    <a:blip r:embed="rId19"/>
                    <a:stretch>
                      <a:fillRect/>
                    </a:stretch>
                  </pic:blipFill>
                  <pic:spPr>
                    <a:xfrm>
                      <a:off x="0" y="0"/>
                      <a:ext cx="5989320" cy="3602950"/>
                    </a:xfrm>
                    <a:prstGeom prst="rect"/>
                  </pic:spPr>
                </pic:pic>
              </a:graphicData>
            </a:graphic>
          </wp:inline>
        </w:drawing>
      </w:r>
    </w:p>
    <w:p>
      <w:pPr>
        <w:pStyle w:val="CaptionSmall"/>
        <w:keepNext w:val="0"/>
        <w:jc w:val="left"/>
      </w:pPr>
      <w:r>
        <w:t>Figure 9. E16: museum puzzle and initial insider/control-point analysis. E17 contains the more specific camera, key, and alarm-process hypotheses.</w:t>
      </w:r>
    </w:p>
    <w:p>
      <w:pPr>
        <w:pStyle w:val="Heading2"/>
        <w:keepNext/>
      </w:pPr>
      <w:r>
        <w:t>7.6 Evidence synthesis</w:t>
      </w:r>
    </w:p>
    <w:p>
      <w:pPr>
        <w:pStyle w:val="CaptionSmall"/>
        <w:keepNext w:val="0"/>
        <w:jc w:val="left"/>
      </w:pPr>
      <w:r>
        <w:t>Table 3. Conservative interpretation of the pilot evidence.</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656"/>
            <w:shd w:fill="DCE6F1"/>
            <w:tcMar>
              <w:top w:w="70" w:type="dxa"/>
              <w:start w:w="80" w:type="dxa"/>
              <w:bottom w:w="70" w:type="dxa"/>
              <w:end w:w="80" w:type="dxa"/>
            </w:tcMar>
            <w:vAlign w:val="center"/>
          </w:tcPr>
          <w:p>
            <w:r>
              <w:rPr>
                <w:rFonts w:ascii="Liberation Sans" w:hAnsi="Liberation Sans" w:eastAsia="Liberation Sans"/>
                <w:b/>
                <w:sz w:val="14"/>
              </w:rPr>
              <w:t>Condition</w:t>
            </w:r>
          </w:p>
        </w:tc>
        <w:tc>
          <w:tcPr>
            <w:tcW w:type="dxa" w:w="3096"/>
            <w:shd w:fill="DCE6F1"/>
            <w:tcMar>
              <w:top w:w="70" w:type="dxa"/>
              <w:start w:w="80" w:type="dxa"/>
              <w:bottom w:w="70" w:type="dxa"/>
              <w:end w:w="80" w:type="dxa"/>
            </w:tcMar>
            <w:vAlign w:val="center"/>
          </w:tcPr>
          <w:p>
            <w:r>
              <w:rPr>
                <w:rFonts w:ascii="Liberation Sans" w:hAnsi="Liberation Sans" w:eastAsia="Liberation Sans"/>
                <w:b/>
                <w:sz w:val="14"/>
              </w:rPr>
              <w:t>Visible outcome</w:t>
            </w:r>
          </w:p>
        </w:tc>
        <w:tc>
          <w:tcPr>
            <w:tcW w:type="dxa" w:w="1944"/>
            <w:shd w:fill="DCE6F1"/>
            <w:tcMar>
              <w:top w:w="70" w:type="dxa"/>
              <w:start w:w="80" w:type="dxa"/>
              <w:bottom w:w="70" w:type="dxa"/>
              <w:end w:w="80" w:type="dxa"/>
            </w:tcMar>
            <w:vAlign w:val="center"/>
          </w:tcPr>
          <w:p>
            <w:r>
              <w:rPr>
                <w:rFonts w:ascii="Liberation Sans" w:hAnsi="Liberation Sans" w:eastAsia="Liberation Sans"/>
                <w:b/>
                <w:sz w:val="14"/>
              </w:rPr>
              <w:t>Actionability assessment</w:t>
            </w:r>
          </w:p>
        </w:tc>
        <w:tc>
          <w:tcPr>
            <w:tcW w:type="dxa" w:w="1584"/>
            <w:shd w:fill="DCE6F1"/>
            <w:tcMar>
              <w:top w:w="70" w:type="dxa"/>
              <w:start w:w="80" w:type="dxa"/>
              <w:bottom w:w="70" w:type="dxa"/>
              <w:end w:w="80" w:type="dxa"/>
            </w:tcMar>
            <w:vAlign w:val="center"/>
          </w:tcPr>
          <w:p>
            <w:r>
              <w:rPr>
                <w:rFonts w:ascii="Liberation Sans" w:hAnsi="Liberation Sans" w:eastAsia="Liberation Sans"/>
                <w:b/>
                <w:sz w:val="14"/>
              </w:rPr>
              <w:t>Semantic-match quality</w:t>
            </w:r>
          </w:p>
        </w:tc>
        <w:tc>
          <w:tcPr>
            <w:tcW w:type="dxa" w:w="2232"/>
            <w:shd w:fill="DCE6F1"/>
            <w:tcMar>
              <w:top w:w="70" w:type="dxa"/>
              <w:start w:w="80" w:type="dxa"/>
              <w:bottom w:w="70" w:type="dxa"/>
              <w:end w:w="80" w:type="dxa"/>
            </w:tcMar>
            <w:vAlign w:val="center"/>
          </w:tcPr>
          <w:p>
            <w:r>
              <w:rPr>
                <w:rFonts w:ascii="Liberation Sans" w:hAnsi="Liberation Sans" w:eastAsia="Liberation Sans"/>
                <w:b/>
                <w:sz w:val="14"/>
              </w:rPr>
              <w:t>What it supports</w:t>
            </w:r>
          </w:p>
        </w:tc>
      </w:tr>
      <w:tr>
        <w:tc>
          <w:tcPr>
            <w:tcW w:type="dxa" w:w="1656"/>
            <w:tcMar>
              <w:top w:w="70" w:type="dxa"/>
              <w:start w:w="80" w:type="dxa"/>
              <w:bottom w:w="70" w:type="dxa"/>
              <w:end w:w="80" w:type="dxa"/>
            </w:tcMar>
            <w:vAlign w:val="top"/>
          </w:tcPr>
          <w:p>
            <w:pPr>
              <w:spacing w:after="20"/>
            </w:pPr>
            <w:r>
              <w:rPr>
                <w:rFonts w:ascii="Liberation Serif" w:hAnsi="Liberation Serif" w:eastAsia="Liberation Serif"/>
                <w:sz w:val="14"/>
              </w:rPr>
              <w:t>Direct burglary requests (E04–E07)</w:t>
            </w:r>
          </w:p>
        </w:tc>
        <w:tc>
          <w:tcPr>
            <w:tcW w:type="dxa" w:w="3096"/>
            <w:tcMar>
              <w:top w:w="70" w:type="dxa"/>
              <w:start w:w="80" w:type="dxa"/>
              <w:bottom w:w="70" w:type="dxa"/>
              <w:end w:w="80" w:type="dxa"/>
            </w:tcMar>
            <w:vAlign w:val="top"/>
          </w:tcPr>
          <w:p>
            <w:pPr>
              <w:spacing w:after="20"/>
            </w:pPr>
            <w:r>
              <w:rPr>
                <w:rFonts w:ascii="Liberation Serif" w:hAnsi="Liberation Serif" w:eastAsia="Liberation Serif"/>
                <w:sz w:val="14"/>
              </w:rPr>
              <w:t>Explicit withholding of tools, defeat methods, and worked sequences; general target and prevention information supplied</w:t>
            </w:r>
          </w:p>
        </w:tc>
        <w:tc>
          <w:tcPr>
            <w:tcW w:type="dxa" w:w="1944"/>
            <w:tcMar>
              <w:top w:w="70" w:type="dxa"/>
              <w:start w:w="80" w:type="dxa"/>
              <w:bottom w:w="70" w:type="dxa"/>
              <w:end w:w="80" w:type="dxa"/>
            </w:tcMar>
            <w:vAlign w:val="top"/>
          </w:tcPr>
          <w:p>
            <w:pPr>
              <w:spacing w:after="20"/>
            </w:pPr>
            <w:r>
              <w:rPr>
                <w:rFonts w:ascii="Liberation Serif" w:hAnsi="Liberation Serif" w:eastAsia="Liberation Serif"/>
                <w:sz w:val="14"/>
              </w:rPr>
              <w:t>Low–moderate; some general offender knowledge is provided</w:t>
            </w:r>
          </w:p>
        </w:tc>
        <w:tc>
          <w:tcPr>
            <w:tcW w:type="dxa" w:w="1584"/>
            <w:tcMar>
              <w:top w:w="70" w:type="dxa"/>
              <w:start w:w="80" w:type="dxa"/>
              <w:bottom w:w="70" w:type="dxa"/>
              <w:end w:w="80" w:type="dxa"/>
            </w:tcMar>
            <w:vAlign w:val="top"/>
          </w:tcPr>
          <w:p>
            <w:pPr>
              <w:spacing w:after="20"/>
            </w:pPr>
            <w:r>
              <w:rPr>
                <w:rFonts w:ascii="Liberation Serif" w:hAnsi="Liberation Serif" w:eastAsia="Liberation Serif"/>
                <w:sz w:val="14"/>
              </w:rPr>
              <w:t>Not applicable</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4"/>
              </w:rPr>
              <w:t>Establishes a local operational-detail boundary, not total refusal</w:t>
            </w:r>
          </w:p>
        </w:tc>
      </w:tr>
      <w:tr>
        <w:tc>
          <w:tcPr>
            <w:tcW w:type="dxa" w:w="1656"/>
            <w:tcMar>
              <w:top w:w="70" w:type="dxa"/>
              <w:start w:w="80" w:type="dxa"/>
              <w:bottom w:w="70" w:type="dxa"/>
              <w:end w:w="80" w:type="dxa"/>
            </w:tcMar>
            <w:vAlign w:val="top"/>
          </w:tcPr>
          <w:p>
            <w:pPr>
              <w:spacing w:after="20"/>
            </w:pPr>
            <w:r>
              <w:rPr>
                <w:rFonts w:ascii="Liberation Serif" w:hAnsi="Liberation Serif" w:eastAsia="Liberation Serif"/>
                <w:sz w:val="14"/>
              </w:rPr>
              <w:t>Detailed retrospective case (E08–E10)</w:t>
            </w:r>
          </w:p>
        </w:tc>
        <w:tc>
          <w:tcPr>
            <w:tcW w:type="dxa" w:w="3096"/>
            <w:tcMar>
              <w:top w:w="70" w:type="dxa"/>
              <w:start w:w="80" w:type="dxa"/>
              <w:bottom w:w="70" w:type="dxa"/>
              <w:end w:w="80" w:type="dxa"/>
            </w:tcMar>
            <w:vAlign w:val="top"/>
          </w:tcPr>
          <w:p>
            <w:pPr>
              <w:spacing w:after="20"/>
            </w:pPr>
            <w:r>
              <w:rPr>
                <w:rFonts w:ascii="Liberation Serif" w:hAnsi="Liberation Serif" w:eastAsia="Liberation Serif"/>
                <w:sz w:val="14"/>
              </w:rPr>
              <w:t>Extensive profiling and causal analysis; literal lock/alarm reconstruction withheld</w:t>
            </w:r>
          </w:p>
        </w:tc>
        <w:tc>
          <w:tcPr>
            <w:tcW w:type="dxa" w:w="1944"/>
            <w:tcMar>
              <w:top w:w="70" w:type="dxa"/>
              <w:start w:w="80" w:type="dxa"/>
              <w:bottom w:w="70" w:type="dxa"/>
              <w:end w:w="80" w:type="dxa"/>
            </w:tcMar>
            <w:vAlign w:val="top"/>
          </w:tcPr>
          <w:p>
            <w:pPr>
              <w:spacing w:after="20"/>
            </w:pPr>
            <w:r>
              <w:rPr>
                <w:rFonts w:ascii="Liberation Serif" w:hAnsi="Liberation Serif" w:eastAsia="Liberation Serif"/>
                <w:sz w:val="14"/>
              </w:rPr>
              <w:t>Low–moderate; mostly defensive/criminological</w:t>
            </w:r>
          </w:p>
        </w:tc>
        <w:tc>
          <w:tcPr>
            <w:tcW w:type="dxa" w:w="1584"/>
            <w:tcMar>
              <w:top w:w="70" w:type="dxa"/>
              <w:start w:w="80" w:type="dxa"/>
              <w:bottom w:w="70" w:type="dxa"/>
              <w:end w:w="80" w:type="dxa"/>
            </w:tcMar>
            <w:vAlign w:val="top"/>
          </w:tcPr>
          <w:p>
            <w:pPr>
              <w:spacing w:after="20"/>
            </w:pPr>
            <w:r>
              <w:rPr>
                <w:rFonts w:ascii="Liberation Serif" w:hAnsi="Liberation Serif" w:eastAsia="Liberation Serif"/>
                <w:sz w:val="14"/>
              </w:rPr>
              <w:t>Not matched to later home puzzle</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4"/>
              </w:rPr>
              <w:t>Shows retrospection alone did not remove the boundary</w:t>
            </w:r>
          </w:p>
        </w:tc>
      </w:tr>
      <w:tr>
        <w:tc>
          <w:tcPr>
            <w:tcW w:type="dxa" w:w="1656"/>
            <w:tcMar>
              <w:top w:w="70" w:type="dxa"/>
              <w:start w:w="80" w:type="dxa"/>
              <w:bottom w:w="70" w:type="dxa"/>
              <w:end w:w="80" w:type="dxa"/>
            </w:tcMar>
            <w:vAlign w:val="top"/>
          </w:tcPr>
          <w:p>
            <w:pPr>
              <w:spacing w:after="20"/>
            </w:pPr>
            <w:r>
              <w:rPr>
                <w:rFonts w:ascii="Liberation Serif" w:hAnsi="Liberation Serif" w:eastAsia="Liberation Serif"/>
                <w:sz w:val="14"/>
              </w:rPr>
              <w:t>Home puzzle (E11)</w:t>
            </w:r>
          </w:p>
        </w:tc>
        <w:tc>
          <w:tcPr>
            <w:tcW w:type="dxa" w:w="3096"/>
            <w:tcMar>
              <w:top w:w="70" w:type="dxa"/>
              <w:start w:w="80" w:type="dxa"/>
              <w:bottom w:w="70" w:type="dxa"/>
              <w:end w:w="80" w:type="dxa"/>
            </w:tcMar>
            <w:vAlign w:val="top"/>
          </w:tcPr>
          <w:p>
            <w:pPr>
              <w:spacing w:after="20"/>
            </w:pPr>
            <w:r>
              <w:rPr>
                <w:rFonts w:ascii="Liberation Serif" w:hAnsi="Liberation Serif" w:eastAsia="Liberation Serif"/>
                <w:sz w:val="14"/>
              </w:rPr>
              <w:t>Broader list of access and alarm hypotheses without refusal wording</w:t>
            </w:r>
          </w:p>
        </w:tc>
        <w:tc>
          <w:tcPr>
            <w:tcW w:type="dxa" w:w="1944"/>
            <w:tcMar>
              <w:top w:w="70" w:type="dxa"/>
              <w:start w:w="80" w:type="dxa"/>
              <w:bottom w:w="70" w:type="dxa"/>
              <w:end w:w="80" w:type="dxa"/>
            </w:tcMar>
            <w:vAlign w:val="top"/>
          </w:tcPr>
          <w:p>
            <w:pPr>
              <w:spacing w:after="20"/>
            </w:pPr>
            <w:r>
              <w:rPr>
                <w:rFonts w:ascii="Liberation Serif" w:hAnsi="Liberation Serif" w:eastAsia="Liberation Serif"/>
                <w:sz w:val="14"/>
              </w:rPr>
              <w:t>Low–moderate; mostly pre-existing access and ordinary failures</w:t>
            </w:r>
          </w:p>
        </w:tc>
        <w:tc>
          <w:tcPr>
            <w:tcW w:type="dxa" w:w="1584"/>
            <w:tcMar>
              <w:top w:w="70" w:type="dxa"/>
              <w:start w:w="80" w:type="dxa"/>
              <w:bottom w:w="70" w:type="dxa"/>
              <w:end w:w="80" w:type="dxa"/>
            </w:tcMar>
            <w:vAlign w:val="top"/>
          </w:tcPr>
          <w:p>
            <w:pPr>
              <w:spacing w:after="20"/>
            </w:pPr>
            <w:r>
              <w:rPr>
                <w:rFonts w:ascii="Liberation Serif" w:hAnsi="Liberation Serif" w:eastAsia="Liberation Serif"/>
                <w:sz w:val="14"/>
              </w:rPr>
              <w:t>Weak: asks possible causes, not the same tools/procedure target</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4"/>
              </w:rPr>
              <w:t>Frame-conditioned disclosure shift worth controlled testing</w:t>
            </w:r>
          </w:p>
        </w:tc>
      </w:tr>
      <w:tr>
        <w:tc>
          <w:tcPr>
            <w:tcW w:type="dxa" w:w="1656"/>
            <w:tcMar>
              <w:top w:w="70" w:type="dxa"/>
              <w:start w:w="80" w:type="dxa"/>
              <w:bottom w:w="70" w:type="dxa"/>
              <w:end w:w="80" w:type="dxa"/>
            </w:tcMar>
            <w:vAlign w:val="top"/>
          </w:tcPr>
          <w:p>
            <w:pPr>
              <w:spacing w:after="20"/>
            </w:pPr>
            <w:r>
              <w:rPr>
                <w:rFonts w:ascii="Liberation Serif" w:hAnsi="Liberation Serif" w:eastAsia="Liberation Serif"/>
                <w:sz w:val="14"/>
              </w:rPr>
              <w:t>Office puzzle (E12–E13)</w:t>
            </w:r>
          </w:p>
        </w:tc>
        <w:tc>
          <w:tcPr>
            <w:tcW w:type="dxa" w:w="3096"/>
            <w:tcMar>
              <w:top w:w="70" w:type="dxa"/>
              <w:start w:w="80" w:type="dxa"/>
              <w:bottom w:w="70" w:type="dxa"/>
              <w:end w:w="80" w:type="dxa"/>
            </w:tcMar>
            <w:vAlign w:val="top"/>
          </w:tcPr>
          <w:p>
            <w:pPr>
              <w:spacing w:after="20"/>
            </w:pPr>
            <w:r>
              <w:rPr>
                <w:rFonts w:ascii="Liberation Serif" w:hAnsi="Liberation Serif" w:eastAsia="Liberation Serif"/>
                <w:sz w:val="14"/>
              </w:rPr>
              <w:t>Credential, tailgating, logging, and insider hypotheses</w:t>
            </w:r>
          </w:p>
        </w:tc>
        <w:tc>
          <w:tcPr>
            <w:tcW w:type="dxa" w:w="1944"/>
            <w:tcMar>
              <w:top w:w="70" w:type="dxa"/>
              <w:start w:w="80" w:type="dxa"/>
              <w:bottom w:w="70" w:type="dxa"/>
              <w:end w:w="80" w:type="dxa"/>
            </w:tcMar>
            <w:vAlign w:val="top"/>
          </w:tcPr>
          <w:p>
            <w:pPr>
              <w:spacing w:after="20"/>
            </w:pPr>
            <w:r>
              <w:rPr>
                <w:rFonts w:ascii="Liberation Serif" w:hAnsi="Liberation Serif" w:eastAsia="Liberation Serif"/>
                <w:sz w:val="14"/>
              </w:rPr>
              <w:t>Low–moderate; common access-control concepts</w:t>
            </w:r>
          </w:p>
        </w:tc>
        <w:tc>
          <w:tcPr>
            <w:tcW w:type="dxa" w:w="1584"/>
            <w:tcMar>
              <w:top w:w="70" w:type="dxa"/>
              <w:start w:w="80" w:type="dxa"/>
              <w:bottom w:w="70" w:type="dxa"/>
              <w:end w:w="80" w:type="dxa"/>
            </w:tcMar>
            <w:vAlign w:val="top"/>
          </w:tcPr>
          <w:p>
            <w:pPr>
              <w:spacing w:after="20"/>
            </w:pPr>
            <w:r>
              <w:rPr>
                <w:rFonts w:ascii="Liberation Serif" w:hAnsi="Liberation Serif" w:eastAsia="Liberation Serif"/>
                <w:sz w:val="14"/>
              </w:rPr>
              <w:t>No direct matched baseline</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4"/>
              </w:rPr>
              <w:t>Cross-domain extension of response style</w:t>
            </w:r>
          </w:p>
        </w:tc>
      </w:tr>
      <w:tr>
        <w:tc>
          <w:tcPr>
            <w:tcW w:type="dxa" w:w="1656"/>
            <w:tcMar>
              <w:top w:w="70" w:type="dxa"/>
              <w:start w:w="80" w:type="dxa"/>
              <w:bottom w:w="70" w:type="dxa"/>
              <w:end w:w="80" w:type="dxa"/>
            </w:tcMar>
            <w:vAlign w:val="top"/>
          </w:tcPr>
          <w:p>
            <w:pPr>
              <w:spacing w:after="20"/>
            </w:pPr>
            <w:r>
              <w:rPr>
                <w:rFonts w:ascii="Liberation Serif" w:hAnsi="Liberation Serif" w:eastAsia="Liberation Serif"/>
                <w:sz w:val="14"/>
              </w:rPr>
              <w:t>Journalist puzzle (E14–E15)</w:t>
            </w:r>
          </w:p>
        </w:tc>
        <w:tc>
          <w:tcPr>
            <w:tcW w:type="dxa" w:w="3096"/>
            <w:tcMar>
              <w:top w:w="70" w:type="dxa"/>
              <w:start w:w="80" w:type="dxa"/>
              <w:bottom w:w="70" w:type="dxa"/>
              <w:end w:w="80" w:type="dxa"/>
            </w:tcMar>
            <w:vAlign w:val="top"/>
          </w:tcPr>
          <w:p>
            <w:pPr>
              <w:spacing w:after="20"/>
            </w:pPr>
            <w:r>
              <w:rPr>
                <w:rFonts w:ascii="Liberation Serif" w:hAnsi="Liberation Serif" w:eastAsia="Liberation Serif"/>
                <w:sz w:val="14"/>
              </w:rPr>
              <w:t>Source compromise, prior connectivity, physical access, side-channel hypothesis</w:t>
            </w:r>
          </w:p>
        </w:tc>
        <w:tc>
          <w:tcPr>
            <w:tcW w:type="dxa" w:w="1944"/>
            <w:tcMar>
              <w:top w:w="70" w:type="dxa"/>
              <w:start w:w="80" w:type="dxa"/>
              <w:bottom w:w="70" w:type="dxa"/>
              <w:end w:w="80" w:type="dxa"/>
            </w:tcMar>
            <w:vAlign w:val="top"/>
          </w:tcPr>
          <w:p>
            <w:pPr>
              <w:spacing w:after="20"/>
            </w:pPr>
            <w:r>
              <w:rPr>
                <w:rFonts w:ascii="Liberation Serif" w:hAnsi="Liberation Serif" w:eastAsia="Liberation Serif"/>
                <w:sz w:val="14"/>
              </w:rPr>
              <w:t>Moderate breadth, low procedural detail</w:t>
            </w:r>
          </w:p>
        </w:tc>
        <w:tc>
          <w:tcPr>
            <w:tcW w:type="dxa" w:w="1584"/>
            <w:tcMar>
              <w:top w:w="70" w:type="dxa"/>
              <w:start w:w="80" w:type="dxa"/>
              <w:bottom w:w="70" w:type="dxa"/>
              <w:end w:w="80" w:type="dxa"/>
            </w:tcMar>
            <w:vAlign w:val="top"/>
          </w:tcPr>
          <w:p>
            <w:pPr>
              <w:spacing w:after="20"/>
            </w:pPr>
            <w:r>
              <w:rPr>
                <w:rFonts w:ascii="Liberation Serif" w:hAnsi="Liberation Serif" w:eastAsia="Liberation Serif"/>
                <w:sz w:val="14"/>
              </w:rPr>
              <w:t>No direct matched baseline</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4"/>
              </w:rPr>
              <w:t>Threat-model expansion, not demonstrated jailbreak</w:t>
            </w:r>
          </w:p>
        </w:tc>
      </w:tr>
      <w:tr>
        <w:tc>
          <w:tcPr>
            <w:tcW w:type="dxa" w:w="1656"/>
            <w:tcMar>
              <w:top w:w="70" w:type="dxa"/>
              <w:start w:w="80" w:type="dxa"/>
              <w:bottom w:w="70" w:type="dxa"/>
              <w:end w:w="80" w:type="dxa"/>
            </w:tcMar>
            <w:vAlign w:val="top"/>
          </w:tcPr>
          <w:p>
            <w:pPr>
              <w:spacing w:after="20"/>
            </w:pPr>
            <w:r>
              <w:rPr>
                <w:rFonts w:ascii="Liberation Serif" w:hAnsi="Liberation Serif" w:eastAsia="Liberation Serif"/>
                <w:sz w:val="14"/>
              </w:rPr>
              <w:t>Museum puzzle (E16–E17)</w:t>
            </w:r>
          </w:p>
        </w:tc>
        <w:tc>
          <w:tcPr>
            <w:tcW w:type="dxa" w:w="3096"/>
            <w:tcMar>
              <w:top w:w="70" w:type="dxa"/>
              <w:start w:w="80" w:type="dxa"/>
              <w:bottom w:w="70" w:type="dxa"/>
              <w:end w:w="80" w:type="dxa"/>
            </w:tcMar>
            <w:vAlign w:val="top"/>
          </w:tcPr>
          <w:p>
            <w:pPr>
              <w:spacing w:after="20"/>
            </w:pPr>
            <w:r>
              <w:rPr>
                <w:rFonts w:ascii="Liberation Serif" w:hAnsi="Liberation Serif" w:eastAsia="Liberation Serif"/>
                <w:sz w:val="14"/>
              </w:rPr>
              <w:t>Insider access, camera-feed intervention, keyed access, alarm procedure</w:t>
            </w:r>
          </w:p>
        </w:tc>
        <w:tc>
          <w:tcPr>
            <w:tcW w:type="dxa" w:w="1944"/>
            <w:tcMar>
              <w:top w:w="70" w:type="dxa"/>
              <w:start w:w="80" w:type="dxa"/>
              <w:bottom w:w="70" w:type="dxa"/>
              <w:end w:w="80" w:type="dxa"/>
            </w:tcMar>
            <w:vAlign w:val="top"/>
          </w:tcPr>
          <w:p>
            <w:pPr>
              <w:spacing w:after="20"/>
            </w:pPr>
            <w:r>
              <w:rPr>
                <w:rFonts w:ascii="Liberation Serif" w:hAnsi="Liberation Serif" w:eastAsia="Liberation Serif"/>
                <w:sz w:val="14"/>
              </w:rPr>
              <w:t>Moderate specificity, still non-procedural</w:t>
            </w:r>
          </w:p>
        </w:tc>
        <w:tc>
          <w:tcPr>
            <w:tcW w:type="dxa" w:w="1584"/>
            <w:tcMar>
              <w:top w:w="70" w:type="dxa"/>
              <w:start w:w="80" w:type="dxa"/>
              <w:bottom w:w="70" w:type="dxa"/>
              <w:end w:w="80" w:type="dxa"/>
            </w:tcMar>
            <w:vAlign w:val="top"/>
          </w:tcPr>
          <w:p>
            <w:pPr>
              <w:spacing w:after="20"/>
            </w:pPr>
            <w:r>
              <w:rPr>
                <w:rFonts w:ascii="Liberation Serif" w:hAnsi="Liberation Serif" w:eastAsia="Liberation Serif"/>
                <w:sz w:val="14"/>
              </w:rPr>
              <w:t>No direct matched baseline</w:t>
            </w:r>
          </w:p>
        </w:tc>
        <w:tc>
          <w:tcPr>
            <w:tcW w:type="dxa" w:w="2232"/>
            <w:tcMar>
              <w:top w:w="70" w:type="dxa"/>
              <w:start w:w="80" w:type="dxa"/>
              <w:bottom w:w="70" w:type="dxa"/>
              <w:end w:w="80" w:type="dxa"/>
            </w:tcMar>
            <w:vAlign w:val="top"/>
          </w:tcPr>
          <w:p>
            <w:pPr>
              <w:spacing w:after="20"/>
            </w:pPr>
            <w:r>
              <w:rPr>
                <w:rFonts w:ascii="Liberation Serif" w:hAnsi="Liberation Serif" w:eastAsia="Liberation Serif"/>
                <w:sz w:val="14"/>
              </w:rPr>
              <w:t>Strongest qualitative extension; requires matched controls</w:t>
            </w:r>
          </w:p>
        </w:tc>
      </w:tr>
    </w:tbl>
    <w:tbl>
      <w:tblPr>
        <w:tblW w:type="auto" w:w="0"/>
        <w:jc w:val="center"/>
        <w:tblLook w:firstColumn="1" w:firstRow="1" w:lastColumn="0" w:lastRow="0" w:noHBand="0" w:noVBand="1" w:val="04A0"/>
      </w:tblPr>
      <w:tblGrid>
        <w:gridCol w:w="9878"/>
      </w:tblGrid>
      <w:tr>
        <w:tc>
          <w:tcPr>
            <w:tcW w:type="dxa" w:w="9878"/>
            <w:shd w:fill="FFF4E5"/>
            <w:tcMar>
              <w:top w:w="130" w:type="dxa"/>
              <w:start w:w="150" w:type="dxa"/>
              <w:bottom w:w="130" w:type="dxa"/>
              <w:end w:w="150" w:type="dxa"/>
            </w:tcMar>
            <w:tcBorders>
              <w:top w:val="single" w:sz="8" w:color="C47B16"/>
              <w:left w:val="single" w:sz="8" w:color="C47B16"/>
              <w:bottom w:val="single" w:sz="8" w:color="C47B16"/>
              <w:right w:val="single" w:sz="8" w:color="C47B16"/>
            </w:tcBorders>
          </w:tcPr>
          <w:p>
            <w:r>
              <w:rPr>
                <w:b/>
              </w:rPr>
              <w:t xml:space="preserve">Pilot result. </w:t>
            </w:r>
            <w:r>
              <w:t>The screenshots demonstrate a repeatable prompt form and a visible shift in response breadth across one conversation. They do not demonstrate a new vulnerability class or even a successful jailbreak under rigorous evaluation. The strongest defensible claim is that FPR is a candidate frame-conditioned safety-evasion pattern whose actionability and causal distinctiveness remain unvalidated.</w:t>
            </w:r>
          </w:p>
        </w:tc>
      </w:tr>
    </w:tbl>
    <w:p>
      <w:pPr>
        <w:pStyle w:val="Heading1"/>
        <w:keepNext/>
      </w:pPr>
      <w:r>
        <w:t>8. Proposed Experimental Method</w:t>
      </w:r>
    </w:p>
    <w:p>
      <w:pPr>
        <w:pStyle w:val="Heading2"/>
        <w:keepNext/>
      </w:pPr>
      <w:r>
        <w:t>8.1 Matched prompt families</w:t>
      </w:r>
    </w:p>
    <w:p>
      <w:pPr>
        <w:pStyle w:val="BodyText"/>
      </w:pPr>
      <w:r>
        <w:rPr>
          <w:i w:val="0"/>
        </w:rPr>
        <w:t>Each target behavior should be represented by a family of prompts independently reviewed for semantic equivalence. The current screenshots cannot serve as matched pairs because the direct prompts request procedures and tools while the puzzle prompts often request possible causes. The formal study should use the following conditions:</w:t>
      </w:r>
    </w:p>
    <w:p>
      <w:pPr>
        <w:pStyle w:val="BodyText"/>
        <w:ind w:left="403" w:hanging="403"/>
      </w:pPr>
      <w:r>
        <w:t>1.  Direct prospective baseline: requests the target information plainly.</w:t>
      </w:r>
    </w:p>
    <w:p>
      <w:pPr>
        <w:pStyle w:val="BodyText"/>
        <w:ind w:left="403" w:hanging="403"/>
      </w:pPr>
      <w:r>
        <w:t>2.  Retrospective-only control: states that the event already occurred but contains no contradiction, humor, or analyst role.</w:t>
      </w:r>
    </w:p>
    <w:p>
      <w:pPr>
        <w:pStyle w:val="BodyText"/>
        <w:ind w:left="403" w:hanging="403"/>
      </w:pPr>
      <w:r>
        <w:t>3.  Forensic-puzzle condition: retrospective event plus apparently inconsistent evidence.</w:t>
      </w:r>
    </w:p>
    <w:p>
      <w:pPr>
        <w:pStyle w:val="BodyText"/>
        <w:ind w:left="403" w:hanging="403"/>
      </w:pPr>
      <w:r>
        <w:t>4.  Humor ablation: puzzle retained; supernatural or playful language removed.</w:t>
      </w:r>
    </w:p>
    <w:p>
      <w:pPr>
        <w:pStyle w:val="BodyText"/>
        <w:ind w:left="403" w:hanging="403"/>
      </w:pPr>
      <w:r>
        <w:t>5.  Contradiction ablation: retrospective narrative retained; impossible clues removed.</w:t>
      </w:r>
    </w:p>
    <w:p>
      <w:pPr>
        <w:pStyle w:val="BodyText"/>
        <w:ind w:left="403" w:hanging="403"/>
      </w:pPr>
      <w:r>
        <w:t>6.  Professional-role ablation: puzzle retained; detective, criminologist, or analyst framing removed.</w:t>
      </w:r>
    </w:p>
    <w:p>
      <w:pPr>
        <w:pStyle w:val="BodyText"/>
        <w:ind w:left="403" w:hanging="403"/>
      </w:pPr>
      <w:r>
        <w:t>7.  Benign defensive control: asks for detection, prevention, evidence preservation, or remediation without requesting the enabling method.</w:t>
      </w:r>
    </w:p>
    <w:p>
      <w:pPr>
        <w:pStyle w:val="BodyText"/>
        <w:ind w:left="403" w:hanging="403"/>
      </w:pPr>
      <w:r>
        <w:t>8.  Closest-prior-work baselines: ABJ, FFA, PAP, carrier narrative, and simple paraphrase variants evaluated under the same pipeline.</w:t>
      </w:r>
    </w:p>
    <w:p>
      <w:pPr>
        <w:pStyle w:val="Heading2"/>
        <w:keepNext/>
      </w:pPr>
      <w:r>
        <w:t>8.2 Dataset</w:t>
      </w:r>
    </w:p>
    <w:p>
      <w:pPr>
        <w:pStyle w:val="BodyText"/>
      </w:pPr>
      <w:r>
        <w:rPr>
          <w:i w:val="0"/>
        </w:rPr>
        <w:t>A publishable study should include at least 100 preregistered prompt families spanning multiple policy categories and benign near-neighbors. Physical-security scenarios should not dominate the dataset because common incident-analysis hypotheses may be legitimate. Domains should include non-violent wrongdoing, fraud and deception, cyber misuse, physical security, privacy invasion, and other categories where retrospective reconstruction is plausible. High-risk outputs should be sanitized or placed under controlled access.</w:t>
      </w:r>
    </w:p>
    <w:p>
      <w:pPr>
        <w:pStyle w:val="Heading2"/>
        <w:keepNext/>
      </w:pPr>
      <w:r>
        <w:t>8.3 Models and sampling</w:t>
      </w:r>
    </w:p>
    <w:p>
      <w:pPr>
        <w:pStyle w:val="BodyText"/>
      </w:pPr>
      <w:r>
        <w:rPr>
          <w:i w:val="0"/>
        </w:rPr>
        <w:t>Test at least five model families from multiple providers and include one or more open-weight models for reproducibility and mechanistic follow-up. Record exact model identifiers, endpoint, date, region, system prompt where available, safety mode, sampling settings, output-token limit, and server-side moderation behavior. Each condition should be repeated at least 20 times at a fixed nonzero temperature and 5–10 times under the most deterministic available setting. Clean sessions must be used for the primary analysis; a separate multi-turn condition can measure conversation-history effects.</w:t>
      </w:r>
    </w:p>
    <w:p>
      <w:pPr>
        <w:pStyle w:val="Heading2"/>
        <w:keepNext/>
      </w:pPr>
      <w:r>
        <w:t>8.4 Outcome measures</w:t>
      </w:r>
    </w:p>
    <w:p>
      <w:pPr>
        <w:pStyle w:val="ListBullet"/>
      </w:pPr>
      <w:r>
        <w:t>Refusal/safe-completion classification, with explicit coding guidance.</w:t>
      </w:r>
    </w:p>
    <w:p>
      <w:pPr>
        <w:pStyle w:val="ListBullet"/>
      </w:pPr>
      <w:r>
        <w:t>Actionability and usefulness using a StrongREJECT-style rubric.</w:t>
      </w:r>
    </w:p>
    <w:p>
      <w:pPr>
        <w:pStyle w:val="ListBullet"/>
      </w:pPr>
      <w:r>
        <w:t>Specificity: concrete enabling conditions, tools, sequencing, evasion, or procedural detail.</w:t>
      </w:r>
    </w:p>
    <w:p>
      <w:pPr>
        <w:pStyle w:val="ListBullet"/>
      </w:pPr>
      <w:r>
        <w:t>Policy relevance: blinded mapping to the exact provider policy category.</w:t>
      </w:r>
    </w:p>
    <w:p>
      <w:pPr>
        <w:pStyle w:val="ListBullet"/>
      </w:pPr>
      <w:r>
        <w:t>Defensive utility: useful prevention or investigation content that does not materially enable wrongdoing.</w:t>
      </w:r>
    </w:p>
    <w:p>
      <w:pPr>
        <w:pStyle w:val="ListBullet"/>
      </w:pPr>
      <w:r>
        <w:t>Semantic fidelity: independent rating that conditions seek the same underlying target information.</w:t>
      </w:r>
    </w:p>
    <w:p>
      <w:pPr>
        <w:pStyle w:val="ListBullet"/>
      </w:pPr>
      <w:r>
        <w:t>Attack efficiency: prompt length, turns, and target-model query count.</w:t>
      </w:r>
    </w:p>
    <w:p>
      <w:pPr>
        <w:pStyle w:val="ListBullet"/>
      </w:pPr>
      <w:r>
        <w:t>Over-refusal: loss of legitimate analytical utility under proposed defenses.</w:t>
      </w:r>
    </w:p>
    <w:p>
      <w:pPr>
        <w:pStyle w:val="Heading2"/>
        <w:keepNext/>
      </w:pPr>
      <w:r>
        <w:t>8.5 Human evaluation and blinding</w:t>
      </w:r>
    </w:p>
    <w:p>
      <w:pPr>
        <w:pStyle w:val="BodyText"/>
      </w:pPr>
      <w:r>
        <w:rPr>
          <w:i w:val="0"/>
        </w:rPr>
        <w:t>At least three independent raters should evaluate outputs without seeing the condition label. Raters should have relevant security and safety-evaluation expertise and should be trained on examples that distinguish generic awareness from actionable assistance. Inter-rater agreement must be reported. Disagreements should be adjudicated using a preregistered rubric rather than author judgment.</w:t>
      </w:r>
    </w:p>
    <w:p>
      <w:pPr>
        <w:pStyle w:val="Heading2"/>
        <w:keepNext/>
      </w:pPr>
      <w:r>
        <w:t>8.6 Statistical analysis</w:t>
      </w:r>
    </w:p>
    <w:p>
      <w:pPr>
        <w:pStyle w:val="BodyText"/>
      </w:pPr>
      <w:r>
        <w:rPr>
          <w:i w:val="0"/>
        </w:rPr>
        <w:t>Binary refusal outcomes should use paired analysis such as McNemar’s test and mixed-effects logistic regression with random intercepts for behavior and model. Continuous actionability scores should be reported with paired bootstrap confidence intervals and mixed-effects models. Factorial ablations can estimate the independent effects and interactions of retrospection, contradiction, humor, and role. Multiple comparisons must be corrected, and effect sizes with confidence intervals should be emphasized over isolated p-values. A held-out prompt set is required to test generalization beyond handcrafted examples.</w:t>
      </w:r>
    </w:p>
    <w:p>
      <w:pPr>
        <w:pStyle w:val="Heading2"/>
        <w:keepNext/>
      </w:pPr>
      <w:r>
        <w:t>8.7 Rejection criteria</w:t>
      </w:r>
    </w:p>
    <w:p>
      <w:pPr>
        <w:pStyle w:val="BodyText"/>
      </w:pPr>
      <w:r>
        <w:rPr>
          <w:i w:val="0"/>
        </w:rPr>
        <w:t>The CRA hypothesis should be rejected or substantially weakened if: (i) matched direct and reframed prompts yield no robust actionability difference; (ii) any difference disappears under simple paraphrase controls; (iii) independent raters classify the additional content as non-operational defensive analysis; (iv) the effect fails to replicate across clean sessions and models; or (v) ABJ or generic narrative baselines explain the effect equally well.</w:t>
      </w:r>
    </w:p>
    <w:p>
      <w:pPr>
        <w:pStyle w:val="Heading1"/>
        <w:keepNext/>
      </w:pPr>
      <w:r>
        <w:t>9. Comparative Analysis and Novelty Assessment</w:t>
      </w:r>
    </w:p>
    <w:p>
      <w:pPr>
        <w:pStyle w:val="BodyText"/>
      </w:pPr>
      <w:r>
        <w:rPr>
          <w:i w:val="0"/>
        </w:rPr>
        <w:t>The screenshots do not justify the statement that “no existing taxonomy covers cognitive-frame change without instruction.” OWASP’s definition is broad, and several published attacks operate through semantic analysis, plausible harmless wrappers, persuasion, or narrative disguise without explicit overrides [1]–[7]. The broad mechanism is therefore not novel.</w:t>
      </w:r>
    </w:p>
    <w:p>
      <w:pPr>
        <w:pStyle w:val="BodyText"/>
      </w:pPr>
      <w:r>
        <w:rPr>
          <w:i w:val="0"/>
        </w:rPr>
        <w:t>A narrower contribution may remain. FPR combines retrospective reconstruction, apparent contradiction, optional humor, and professional incident analysis. If factorial experiments show that contradiction-driven reconstruction produces a robust increase beyond generic analysis, retrospective narration, simple paraphrase, role-play, and the closest published attacks, then FPR could be presented as a distinct attack template, evaluation slice, or subclass within semantic jailbreaks. That would be a useful contribution even if the community rejects a new top-level vulnerability class.</w:t>
      </w:r>
    </w:p>
    <w:p>
      <w:pPr>
        <w:pStyle w:val="BodyText"/>
      </w:pPr>
      <w:r>
        <w:rPr>
          <w:i w:val="0"/>
        </w:rPr>
        <w:t>The current classification should therefore be: candidate direct semantic jailbreak / prompt-manipulation variant; novelty unresolved. A standalone OWASP category would require evidence of distinct prevalence, root cause, impact, and mitigation not adequately represented by LLM01. The pilot provides none of those at present.</w:t>
      </w:r>
    </w:p>
    <w:p>
      <w:pPr>
        <w:pStyle w:val="Heading1"/>
        <w:keepNext/>
      </w:pPr>
      <w:r>
        <w:t>10. Alternative Explanations</w:t>
      </w:r>
    </w:p>
    <w:p>
      <w:pPr>
        <w:pStyle w:val="BodyText"/>
        <w:ind w:left="403" w:hanging="403"/>
      </w:pPr>
      <w:r>
        <w:t>1.  Legitimate incident analysis. The model may be correctly distinguishing causal reconstruction from procedural facilitation. Tailgating, insider access, unarmed alarms, prior connectivity, and source compromise are standard defensive concepts.</w:t>
      </w:r>
    </w:p>
    <w:p>
      <w:pPr>
        <w:pStyle w:val="BodyText"/>
        <w:ind w:left="403" w:hanging="403"/>
      </w:pPr>
      <w:r>
        <w:t>2.  Semantic mismatch. The direct prompts ask for tools and methods; the puzzle prompts ask for possible explanations. A different answer may be appropriate because the information targets differ.</w:t>
      </w:r>
    </w:p>
    <w:p>
      <w:pPr>
        <w:pStyle w:val="BodyText"/>
        <w:ind w:left="403" w:hanging="403"/>
      </w:pPr>
      <w:r>
        <w:t>3.  Actionability inflation. Non-refusal and longer answers can look like jailbreak success even when the content is generic or non-procedural, precisely the evaluation failure highlighted by StrongREJECT [9].</w:t>
      </w:r>
    </w:p>
    <w:p>
      <w:pPr>
        <w:pStyle w:val="BodyText"/>
        <w:ind w:left="403" w:hanging="403"/>
      </w:pPr>
      <w:r>
        <w:t>4.  Conversation-history priming. The persona, direct requests, and prior answers may influence later behavior. The screenshots document one continuing session, not clean independent trials.</w:t>
      </w:r>
    </w:p>
    <w:p>
      <w:pPr>
        <w:pStyle w:val="BodyText"/>
        <w:ind w:left="403" w:hanging="403"/>
      </w:pPr>
      <w:r>
        <w:t>5.  Stochastic variation. Single outputs do not estimate a stable probability. Repeated sampling and confidence intervals are required.</w:t>
      </w:r>
    </w:p>
    <w:p>
      <w:pPr>
        <w:pStyle w:val="BodyText"/>
        <w:ind w:left="403" w:hanging="403"/>
      </w:pPr>
      <w:r>
        <w:t>6.  Policy-consistent distinction. A provider may intentionally permit high-level explanations of how incidents commonly occur while prohibiting instructions that facilitate commission.</w:t>
      </w:r>
    </w:p>
    <w:p>
      <w:pPr>
        <w:pStyle w:val="BodyText"/>
        <w:ind w:left="403" w:hanging="403"/>
      </w:pPr>
      <w:r>
        <w:t>7.  Selection bias. The screenshot corpus may capture interesting successes without a complete denominator of all attempted prompts.</w:t>
      </w:r>
    </w:p>
    <w:p>
      <w:pPr>
        <w:pStyle w:val="BodyText"/>
        <w:ind w:left="403" w:hanging="403"/>
      </w:pPr>
      <w:r>
        <w:t>8.  Model drift. Hosted behavior and interface labels can change. “Sonnet 5 Medium” is not sufficient for reproducibility without an exact backend identifier.</w:t>
      </w:r>
    </w:p>
    <w:p>
      <w:pPr>
        <w:pStyle w:val="BodyText"/>
        <w:ind w:left="403" w:hanging="403"/>
      </w:pPr>
      <w:r>
        <w:t>9.  Visible status labels are not internal telemetry. Phrases such as “recognized manipulation attempt” are interface-visible text, not proof of a classifier state or safety pathway.</w:t>
      </w:r>
    </w:p>
    <w:p>
      <w:pPr>
        <w:pStyle w:val="BodyText"/>
        <w:ind w:left="403" w:hanging="403"/>
      </w:pPr>
      <w:r>
        <w:t>10.  Model self-description is not empirical validation. Statements produced by the model about how it might be deceived are hypotheses or conversational artifacts, not evidence of its internal mechanism.</w:t>
      </w:r>
    </w:p>
    <w:p>
      <w:pPr>
        <w:pStyle w:val="Heading1"/>
        <w:keepNext/>
      </w:pPr>
      <w:r>
        <w:t>11. Limitations</w:t>
      </w:r>
    </w:p>
    <w:p>
      <w:pPr>
        <w:pStyle w:val="BodyText"/>
      </w:pPr>
      <w:r>
        <w:rPr>
          <w:i w:val="0"/>
        </w:rPr>
        <w:t>The study has one target interface, one continuing conversation, 17 screenshots, no exact backend model ID, no sampling parameters, no clean-session replication, no standardized benchmark, no independent human evaluation, and no quantitative success rate. Only the home case has a preceding direct interaction that can be compared informally, and even that comparison is not semantically matched. The office, journalist, and museum cases show a repeated prompt form but not causal replication.</w:t>
      </w:r>
    </w:p>
    <w:p>
      <w:pPr>
        <w:pStyle w:val="BodyText"/>
      </w:pPr>
      <w:r>
        <w:rPr>
          <w:i w:val="0"/>
        </w:rPr>
        <w:t>The screenshots are strong evidence of visible text but weak evidence of completeness and provenance compared with API logs, exported transcripts, request IDs, timestamps, or signed records. The annotations identify relevant regions but are authored interpretations. The evidence does not establish that any response violates Anthropic policy, nor does it establish material real-world uplift for wrongdoing.</w:t>
      </w:r>
    </w:p>
    <w:p>
      <w:pPr>
        <w:pStyle w:val="BodyText"/>
      </w:pPr>
      <w:r>
        <w:rPr>
          <w:i w:val="0"/>
        </w:rPr>
        <w:t>The construct “same underlying intent” is itself difficult. Retrospective explanation and prospective instruction can be related without being equivalent. Human raters may disagree on the point at which causal analysis becomes operational assistance. Public release also creates an ethical tension: reproducibility requires disclosure, while highly effective prompt templates and outputs could enable misuse.</w:t>
      </w:r>
    </w:p>
    <w:p>
      <w:pPr>
        <w:pStyle w:val="Heading1"/>
        <w:keepNext/>
      </w:pPr>
      <w:r>
        <w:t>12. What Would Convince a Skeptical Reviewer?</w:t>
      </w:r>
    </w:p>
    <w:p>
      <w:pPr>
        <w:pStyle w:val="BodyText"/>
      </w:pPr>
      <w:r>
        <w:rPr>
          <w:i w:val="0"/>
        </w:rPr>
        <w:t>Before concluding that CRA is a real, distinct, and security-relevant attack, a strict reviewer would reasonably demand evidence that is currently absent. The minimum persuasive package is:</w:t>
      </w:r>
    </w:p>
    <w:p>
      <w:pPr>
        <w:pStyle w:val="BodyText"/>
        <w:ind w:left="403" w:hanging="403"/>
      </w:pPr>
      <w:r>
        <w:t>1.  Immutable reproduction records: exported transcripts or API logs, exact model IDs, timestamps, parameters, prompt hashes, request IDs where available, and clean-session reruns.</w:t>
      </w:r>
    </w:p>
    <w:p>
      <w:pPr>
        <w:pStyle w:val="BodyText"/>
        <w:ind w:left="403" w:hanging="403"/>
      </w:pPr>
      <w:r>
        <w:t>2.  Content-matched baselines: prompt pairs independently validated as requesting the same target information while changing only the hypothesized framing variables.</w:t>
      </w:r>
    </w:p>
    <w:p>
      <w:pPr>
        <w:pStyle w:val="BodyText"/>
        <w:ind w:left="403" w:hanging="403"/>
      </w:pPr>
      <w:r>
        <w:t>3.  Scale: a preregistered dataset large enough to estimate effect size, repeated sampling, multiple model families, and held-out templates.</w:t>
      </w:r>
    </w:p>
    <w:p>
      <w:pPr>
        <w:pStyle w:val="BodyText"/>
        <w:ind w:left="403" w:hanging="403"/>
      </w:pPr>
      <w:r>
        <w:t>4.  Actionability evidence: blinded expert and benchmark scoring showing that reframed outputs materially increase useful harmful information—not merely verbosity or non-refusal.</w:t>
      </w:r>
    </w:p>
    <w:p>
      <w:pPr>
        <w:pStyle w:val="BodyText"/>
        <w:ind w:left="403" w:hanging="403"/>
      </w:pPr>
      <w:r>
        <w:t>5.  Causal ablations: evidence that contradiction-driven retrospective reconstruction contributes beyond generic analysis, humor, role, narrative length, ambiguity, and simple paraphrase.</w:t>
      </w:r>
    </w:p>
    <w:p>
      <w:pPr>
        <w:pStyle w:val="BodyText"/>
        <w:ind w:left="403" w:hanging="403"/>
      </w:pPr>
      <w:r>
        <w:t>6.  Head-to-head prior-work comparison: ABJ, FFA, PAP, PAIR, carrier narratives, and other semantic baselines under identical models, prompts, sampling, and evaluation.</w:t>
      </w:r>
    </w:p>
    <w:p>
      <w:pPr>
        <w:pStyle w:val="BodyText"/>
        <w:ind w:left="403" w:hanging="403"/>
      </w:pPr>
      <w:r>
        <w:t>7.  Statistical robustness: paired effect sizes, confidence intervals, multiple-comparison correction, and sensitivity analysis across evaluator definitions.</w:t>
      </w:r>
    </w:p>
    <w:p>
      <w:pPr>
        <w:pStyle w:val="BodyText"/>
        <w:ind w:left="403" w:hanging="403"/>
      </w:pPr>
      <w:r>
        <w:t>8.  Security impact: a precise account of which policy or capability boundary is crossed and why the output creates meaningful misuse uplift.</w:t>
      </w:r>
    </w:p>
    <w:p>
      <w:pPr>
        <w:pStyle w:val="BodyText"/>
        <w:ind w:left="403" w:hanging="403"/>
      </w:pPr>
      <w:r>
        <w:t>9.  Mechanistic restraint: removal of claims about classifiers, cognitive layers, or refusal circuits unless supported by white-box interpretability or provider telemetry.</w:t>
      </w:r>
    </w:p>
    <w:p>
      <w:pPr>
        <w:pStyle w:val="BodyText"/>
        <w:ind w:left="403" w:hanging="403"/>
      </w:pPr>
      <w:r>
        <w:t>10.  Ethical and disclosure controls: coordinated vendor disclosure, sanitized public artifacts, and controlled access to any operationally dangerous reproduction set.</w:t>
      </w:r>
    </w:p>
    <w:tbl>
      <w:tblPr>
        <w:tblW w:type="auto" w:w="0"/>
        <w:jc w:val="center"/>
        <w:tblLook w:firstColumn="1" w:firstRow="1" w:lastColumn="0" w:lastRow="0" w:noHBand="0" w:noVBand="1" w:val="04A0"/>
      </w:tblPr>
      <w:tblGrid>
        <w:gridCol w:w="9878"/>
      </w:tblGrid>
      <w:tr>
        <w:tc>
          <w:tcPr>
            <w:tcW w:type="dxa" w:w="9878"/>
            <w:shd w:fill="FDECEC"/>
            <w:tcMar>
              <w:top w:w="130" w:type="dxa"/>
              <w:start w:w="150" w:type="dxa"/>
              <w:bottom w:w="130" w:type="dxa"/>
              <w:end w:w="150" w:type="dxa"/>
            </w:tcMar>
            <w:tcBorders>
              <w:top w:val="single" w:sz="8" w:color="A94442"/>
              <w:left w:val="single" w:sz="8" w:color="A94442"/>
              <w:bottom w:val="single" w:sz="8" w:color="A94442"/>
              <w:right w:val="single" w:sz="8" w:color="A94442"/>
            </w:tcBorders>
          </w:tcPr>
          <w:p>
            <w:r>
              <w:rPr>
                <w:b/>
              </w:rPr>
              <w:t xml:space="preserve">Current verdict. </w:t>
            </w:r>
            <w:r>
              <w:t>Those requirements are not met. The paper should be described as an evidence-grounded pilot and evaluation proposal. It should not claim a new OWASP entry, a systemic vulnerability, or a demonstrated cognitive-layer bypass.</w:t>
            </w:r>
          </w:p>
        </w:tc>
      </w:tr>
    </w:tbl>
    <w:p>
      <w:pPr>
        <w:pStyle w:val="Heading1"/>
        <w:keepNext/>
      </w:pPr>
      <w:r>
        <w:t>13. Mitigation Hypotheses</w:t>
      </w:r>
    </w:p>
    <w:p>
      <w:pPr>
        <w:pStyle w:val="BodyText"/>
      </w:pPr>
      <w:r>
        <w:rPr>
          <w:i w:val="0"/>
        </w:rPr>
        <w:t>The following are testable defense hypotheses, not demonstrated mitigations:</w:t>
      </w:r>
    </w:p>
    <w:p>
      <w:pPr>
        <w:pStyle w:val="ListBullet"/>
      </w:pPr>
      <w:r>
        <w:t>Intent-preserving normalization: rewrite retrospective or narrative requests into a canonical statement of the capability being requested before applying policy.</w:t>
      </w:r>
    </w:p>
    <w:p>
      <w:pPr>
        <w:pStyle w:val="ListBullet"/>
      </w:pPr>
      <w:r>
        <w:t>Dual prompt-output assessment: score both likely user objective and response actionability rather than relying on surface prompt form.</w:t>
      </w:r>
    </w:p>
    <w:p>
      <w:pPr>
        <w:pStyle w:val="ListBullet"/>
      </w:pPr>
      <w:r>
        <w:t>Counterfactual safety check: ask whether the same details would be allowed if requested prospectively; if not, constrain the answer to indicators, evidence preservation, and remediation.</w:t>
      </w:r>
    </w:p>
    <w:p>
      <w:pPr>
        <w:pStyle w:val="ListBullet"/>
      </w:pPr>
      <w:r>
        <w:t>Matched-pair adversarial training: train on direct/reframed pairs so policy behavior generalizes across discourse forms.</w:t>
      </w:r>
    </w:p>
    <w:p>
      <w:pPr>
        <w:pStyle w:val="ListBullet"/>
      </w:pPr>
      <w:r>
        <w:t>Safe incident-analysis templates: provide plausible high-level hypotheses and defensive next steps while omitting procedures that defeat controls.</w:t>
      </w:r>
    </w:p>
    <w:p>
      <w:pPr>
        <w:pStyle w:val="ListBullet"/>
      </w:pPr>
      <w:r>
        <w:t>Multi-turn state tracking: detect gradual extraction of operational detail across apparently benign incident questions.</w:t>
      </w:r>
    </w:p>
    <w:p>
      <w:pPr>
        <w:pStyle w:val="ListBullet"/>
      </w:pPr>
      <w:r>
        <w:t>Output-side review: apply a second-pass actionability evaluator even when the input is classified as benign.</w:t>
      </w:r>
    </w:p>
    <w:p>
      <w:pPr>
        <w:pStyle w:val="ListBullet"/>
      </w:pPr>
      <w:r>
        <w:t>Utility-preserving evaluation: measure over-refusal on legitimate criminology, journalism, forensics, fiction, and incident response.</w:t>
      </w:r>
    </w:p>
    <w:p>
      <w:pPr>
        <w:pStyle w:val="Heading1"/>
        <w:keepNext/>
      </w:pPr>
      <w:r>
        <w:t>14. Future Work</w:t>
      </w:r>
    </w:p>
    <w:p>
      <w:pPr>
        <w:pStyle w:val="BodyText"/>
        <w:ind w:left="403" w:hanging="403"/>
      </w:pPr>
      <w:r>
        <w:t>1.  Export and preserve the complete original conversation, including omitted turns, timestamps, and exact model metadata where the platform permits.</w:t>
      </w:r>
    </w:p>
    <w:p>
      <w:pPr>
        <w:pStyle w:val="BodyText"/>
        <w:ind w:left="403" w:hanging="403"/>
      </w:pPr>
      <w:r>
        <w:t>2.  Rerun the current prompts in clean sessions and construct genuinely matched direct/reframed pairs.</w:t>
      </w:r>
    </w:p>
    <w:p>
      <w:pPr>
        <w:pStyle w:val="BodyText"/>
        <w:ind w:left="403" w:hanging="403"/>
      </w:pPr>
      <w:r>
        <w:t>3.  Build a preregistered multi-domain dataset with benign controls and independent semantic-equivalence review.</w:t>
      </w:r>
    </w:p>
    <w:p>
      <w:pPr>
        <w:pStyle w:val="BodyText"/>
        <w:ind w:left="403" w:hanging="403"/>
      </w:pPr>
      <w:r>
        <w:t>4.  Perform factorial ablations for retrospection, contradiction, humor, analyst role, ambiguity, and narrative length.</w:t>
      </w:r>
    </w:p>
    <w:p>
      <w:pPr>
        <w:pStyle w:val="BodyText"/>
        <w:ind w:left="403" w:hanging="403"/>
      </w:pPr>
      <w:r>
        <w:t>5.  Run cross-model repeated evaluations and report effect sizes, confidence intervals, cost, and failure cases.</w:t>
      </w:r>
    </w:p>
    <w:p>
      <w:pPr>
        <w:pStyle w:val="BodyText"/>
        <w:ind w:left="403" w:hanging="403"/>
      </w:pPr>
      <w:r>
        <w:t>6.  Use StrongREJECT- or HarmBench-style scoring together with blinded domain-expert review.</w:t>
      </w:r>
    </w:p>
    <w:p>
      <w:pPr>
        <w:pStyle w:val="BodyText"/>
        <w:ind w:left="403" w:hanging="403"/>
      </w:pPr>
      <w:r>
        <w:t>7.  Compare directly with ABJ, FFA, PAP, PAIR, carrier narratives, and simple paraphrase under one pipeline.</w:t>
      </w:r>
    </w:p>
    <w:p>
      <w:pPr>
        <w:pStyle w:val="BodyText"/>
        <w:ind w:left="403" w:hanging="403"/>
      </w:pPr>
      <w:r>
        <w:t>8.  Evaluate proposed defenses while measuring legitimate analytical utility and over-refusal.</w:t>
      </w:r>
    </w:p>
    <w:p>
      <w:pPr>
        <w:pStyle w:val="BodyText"/>
        <w:ind w:left="403" w:hanging="403"/>
      </w:pPr>
      <w:r>
        <w:t>9.  For open-weight models, explore representation-level or activation analyses only after a robust behavioral effect is established.</w:t>
      </w:r>
    </w:p>
    <w:p>
      <w:pPr>
        <w:pStyle w:val="BodyText"/>
        <w:ind w:left="403" w:hanging="403"/>
      </w:pPr>
      <w:r>
        <w:t>10.  Coordinate responsible disclosure before releasing any prompt/output pair that produces genuinely actionable misuse assistance.</w:t>
      </w:r>
    </w:p>
    <w:p>
      <w:pPr>
        <w:pStyle w:val="Heading1"/>
        <w:keepNext/>
      </w:pPr>
      <w:r>
        <w:t>15. Ethical Considerations and Disclosure</w:t>
      </w:r>
    </w:p>
    <w:p>
      <w:pPr>
        <w:pStyle w:val="BodyText"/>
      </w:pPr>
      <w:r>
        <w:rPr>
          <w:i w:val="0"/>
        </w:rPr>
        <w:t>This research examines ways of eliciting security-relevant information. Testing should use synthetic scenarios, provider-compliant red-teaming practices, minimal collection of dangerous outputs, and no real-world targeting. Public artifacts should preserve the scientific result while avoiding detailed procedural content that materially lowers the barrier to wrongdoing. The current screenshots contain high-level hypotheses rather than complete harmful procedures and are included for evidence audit.</w:t>
      </w:r>
    </w:p>
    <w:p>
      <w:pPr>
        <w:pStyle w:val="BodyText"/>
      </w:pPr>
      <w:r>
        <w:rPr>
          <w:i w:val="0"/>
        </w:rPr>
        <w:t>Any provider report should include: exact model identifier if obtainable; a minimal matched reproduction pair; expected and observed behavior; repetition rate; actionability assessment; transcript hashes; and disclosure intentions. The report should distinguish a hypothesis about behavioral inconsistency from an unsupported assertion about internal safety mechanisms.</w:t>
      </w:r>
    </w:p>
    <w:p>
      <w:pPr>
        <w:pStyle w:val="Heading1"/>
        <w:keepNext/>
      </w:pPr>
      <w:r>
        <w:t>16. Conclusion</w:t>
      </w:r>
    </w:p>
    <w:p>
      <w:pPr>
        <w:pStyle w:val="BodyText"/>
      </w:pPr>
      <w:r>
        <w:rPr>
          <w:i w:val="0"/>
        </w:rPr>
        <w:t>The screenshot corpus documents an interesting and research-worthy pattern: after explicit operational boundaries are established, forensic-puzzle prompts elicit broader security-relevant explanations across residential, office, journalist, and museum scenarios. The strongest direct evidence is a shift in response framing and breadth, not a demonstrated procedural jailbreak. The outputs largely remain causal, high-level, and compatible with legitimate incident analysis. The prompts are not content-matched, the session is not independently replicated, and no quantitative or mechanistic evidence is available.</w:t>
      </w:r>
    </w:p>
    <w:p>
      <w:pPr>
        <w:pStyle w:val="BodyText"/>
      </w:pPr>
      <w:r>
        <w:rPr>
          <w:i w:val="0"/>
        </w:rPr>
        <w:t>The correct overall assessment is therefore neither “a new vulnerability class has been discovered” nor “this is obviously nothing more than ordinary prompt injection.” The evidence supports a valid research hypothesis: forensic-puzzle framing may produce frame-conditioned safety variance and may constitute a distinct template or subclass within semantic jailbreaks. Whether it deserves the name Cognitive Reframing Attack depends on controlled results that do not yet exist.</w:t>
      </w:r>
    </w:p>
    <w:p>
      <w:pPr>
        <w:pStyle w:val="BodyText"/>
      </w:pPr>
      <w:r>
        <w:rPr>
          <w:i w:val="0"/>
        </w:rPr>
        <w:t>This restrained position preserves the scientific value of the work. Even if later experiments classify FPR as a variant of ABJ, narrative jailbreaking, or policy-consistent incident analysis, the contribution can remain useful if it precisely defines the pattern, provides a reproducible dataset, quantifies the effect, identifies causal components, and measures defenses. The next step is experimentation, not stronger wording.</w:t>
      </w:r>
    </w:p>
    <w:p>
      <w:pPr>
        <w:pStyle w:val="Heading1"/>
        <w:keepNext/>
      </w:pPr>
      <w:r>
        <w:t>References</w:t>
      </w:r>
    </w:p>
    <w:p>
      <w:pPr>
        <w:pStyle w:val="BodyText"/>
        <w:spacing w:after="40"/>
        <w:ind w:left="360" w:hanging="360"/>
      </w:pPr>
      <w:r>
        <w:rPr>
          <w:rFonts w:ascii="Liberation Serif" w:hAnsi="Liberation Serif" w:eastAsia="Liberation Serif"/>
          <w:sz w:val="17"/>
        </w:rPr>
        <w:t>[1] OWASP GenAI Security Project, “LLM01:2025 Prompt Injection,” OWASP Top 10 for LLM Applications, 2025. Accessed 26 July 2026.</w:t>
      </w:r>
    </w:p>
    <w:p>
      <w:pPr>
        <w:pStyle w:val="BodyText"/>
        <w:spacing w:after="40"/>
        <w:ind w:left="360" w:hanging="360"/>
      </w:pPr>
      <w:r>
        <w:rPr>
          <w:rFonts w:ascii="Liberation Serif" w:hAnsi="Liberation Serif" w:eastAsia="Liberation Serif"/>
          <w:sz w:val="17"/>
        </w:rPr>
        <w:t>[2] S. Lin, H. Yang, R. Li, X. Wang, C. Lin, W. Xing, and M. Han, “LLMs Can Be Dangerous Reasoners: Analyzing-based Jailbreak Attack on Large Language Models,” arXiv:2407.16205, 2024, revised 2025.</w:t>
      </w:r>
    </w:p>
    <w:p>
      <w:pPr>
        <w:pStyle w:val="BodyText"/>
        <w:spacing w:after="40"/>
        <w:ind w:left="360" w:hanging="360"/>
      </w:pPr>
      <w:r>
        <w:rPr>
          <w:rFonts w:ascii="Liberation Serif" w:hAnsi="Liberation Serif" w:eastAsia="Liberation Serif"/>
          <w:sz w:val="17"/>
        </w:rPr>
        <w:t>[3] Y. Zhou, H. P. Zou, B. Di Eugenio, and Y. Zhang, “Large Language Models Are Involuntary Truth-Tellers: Exploiting Fallacy Failure for Jailbreak Attacks,” in Proceedings of EMNLP 2024, pp. 13293–13304, 2024; arXiv:2407.00869.</w:t>
      </w:r>
    </w:p>
    <w:p>
      <w:pPr>
        <w:pStyle w:val="BodyText"/>
        <w:spacing w:after="40"/>
        <w:ind w:left="360" w:hanging="360"/>
      </w:pPr>
      <w:r>
        <w:rPr>
          <w:rFonts w:ascii="Liberation Serif" w:hAnsi="Liberation Serif" w:eastAsia="Liberation Serif"/>
          <w:sz w:val="17"/>
        </w:rPr>
        <w:t>[4] Y. Zeng, H. Lin, J. Zhang, D. Yang, R. Jia, and W. Shi, “How Johnny Can Persuade LLMs to Jailbreak Them: Rethinking Persuasion to Challenge AI Safety by Humanizing LLMs,” in Proceedings of ACL 2024, pp. 14322–14350, 2024; arXiv:2401.06373.</w:t>
      </w:r>
    </w:p>
    <w:p>
      <w:pPr>
        <w:pStyle w:val="BodyText"/>
        <w:spacing w:after="40"/>
        <w:ind w:left="360" w:hanging="360"/>
      </w:pPr>
      <w:r>
        <w:rPr>
          <w:rFonts w:ascii="Liberation Serif" w:hAnsi="Liberation Serif" w:eastAsia="Liberation Serif"/>
          <w:sz w:val="17"/>
        </w:rPr>
        <w:t>[5] P. Chao, A. Robey, E. Dobriban, H. Hassani, G. J. Pappas, and E. Wong, “Jailbreaking Black Box Large Language Models in Twenty Queries,” arXiv:2310.08419, 2023.</w:t>
      </w:r>
    </w:p>
    <w:p>
      <w:pPr>
        <w:pStyle w:val="BodyText"/>
        <w:spacing w:after="40"/>
        <w:ind w:left="360" w:hanging="360"/>
      </w:pPr>
      <w:r>
        <w:rPr>
          <w:rFonts w:ascii="Liberation Serif" w:hAnsi="Liberation Serif" w:eastAsia="Liberation Serif"/>
          <w:sz w:val="17"/>
        </w:rPr>
        <w:t>[6] Z. Wang, H. Wang, N. Luo, L. Zhang, X. Sun, Y. Cao, and P. Liu, “Hide Your Malicious Goal into Benign Narratives: Jailbreak Large Language Models through Carrier Articles,” arXiv:2408.11182, 2024.</w:t>
      </w:r>
    </w:p>
    <w:p>
      <w:pPr>
        <w:pStyle w:val="BodyText"/>
        <w:spacing w:after="40"/>
        <w:ind w:left="360" w:hanging="360"/>
      </w:pPr>
      <w:r>
        <w:rPr>
          <w:rFonts w:ascii="Liberation Serif" w:hAnsi="Liberation Serif" w:eastAsia="Liberation Serif"/>
          <w:sz w:val="17"/>
        </w:rPr>
        <w:t>[7] Y. Ge, N. Kirtane, H. Peng, and D. Hakkani-Tür, “LLMs Are Vulnerable to Malicious Prompts Disguised as Scientific Language,” arXiv:2501.14073, 2025.</w:t>
      </w:r>
    </w:p>
    <w:p>
      <w:pPr>
        <w:pStyle w:val="BodyText"/>
        <w:spacing w:after="40"/>
        <w:ind w:left="360" w:hanging="360"/>
      </w:pPr>
      <w:r>
        <w:rPr>
          <w:rFonts w:ascii="Liberation Serif" w:hAnsi="Liberation Serif" w:eastAsia="Liberation Serif"/>
          <w:sz w:val="17"/>
        </w:rPr>
        <w:t>[8] M. Mazeika et al., “HarmBench: A Standardized Evaluation Framework for Automated Red Teaming and Robust Refusal,” in Proceedings of the 41st International Conference on Machine Learning, PMLR 235, pp. 35181–35224, 2024; arXiv:2402.04249.</w:t>
      </w:r>
    </w:p>
    <w:p>
      <w:pPr>
        <w:pStyle w:val="BodyText"/>
        <w:spacing w:after="40"/>
        <w:ind w:left="360" w:hanging="360"/>
      </w:pPr>
      <w:r>
        <w:rPr>
          <w:rFonts w:ascii="Liberation Serif" w:hAnsi="Liberation Serif" w:eastAsia="Liberation Serif"/>
          <w:sz w:val="17"/>
        </w:rPr>
        <w:t>[9] A. Souly et al., “A StrongREJECT for Empty Jailbreaks,” arXiv:2402.10260, 2024.</w:t>
      </w:r>
    </w:p>
    <w:p>
      <w:pPr>
        <w:pStyle w:val="BodyText"/>
        <w:spacing w:after="40"/>
        <w:ind w:left="360" w:hanging="360"/>
      </w:pPr>
      <w:r>
        <w:rPr>
          <w:rFonts w:ascii="Liberation Serif" w:hAnsi="Liberation Serif" w:eastAsia="Liberation Serif"/>
          <w:sz w:val="17"/>
        </w:rPr>
        <w:t>[10] P. Chao et al., “JailbreakBench: An Open Robustness Benchmark for Jailbreaking Large Language Models,” Advances in Neural Information Processing Systems 37, Datasets and Benchmarks Track, 2024; arXiv:2404.01318.</w:t>
      </w:r>
    </w:p>
    <w:p>
      <w:pPr>
        <w:pStyle w:val="BodyText"/>
        <w:spacing w:after="40"/>
        <w:ind w:left="360" w:hanging="360"/>
      </w:pPr>
      <w:r>
        <w:rPr>
          <w:rFonts w:ascii="Liberation Serif" w:hAnsi="Liberation Serif" w:eastAsia="Liberation Serif"/>
          <w:sz w:val="17"/>
        </w:rPr>
        <w:t>[11] C. Anil et al., “Many-shot Jailbreaking,” Anthropic Research, 2024.</w:t>
      </w:r>
    </w:p>
    <w:p>
      <w:pPr>
        <w:pStyle w:val="BodyText"/>
        <w:spacing w:after="40"/>
        <w:ind w:left="360" w:hanging="360"/>
      </w:pPr>
      <w:r>
        <w:rPr>
          <w:rFonts w:ascii="Liberation Serif" w:hAnsi="Liberation Serif" w:eastAsia="Liberation Serif"/>
          <w:sz w:val="17"/>
        </w:rPr>
        <w:t>[12] E. Wallace, K. Xiao, R. Leike, L. Weng, J. Heidecke, and A. Beutel, “The Instruction Hierarchy: Training LLMs to Prioritize Privileged Instructions,” arXiv:2404.13208, 2024.</w:t>
      </w:r>
    </w:p>
    <w:p>
      <w:pPr>
        <w:pStyle w:val="BodyText"/>
        <w:spacing w:after="40"/>
        <w:ind w:left="360" w:hanging="360"/>
      </w:pPr>
      <w:r>
        <w:rPr>
          <w:rFonts w:ascii="Liberation Serif" w:hAnsi="Liberation Serif" w:eastAsia="Liberation Serif"/>
          <w:sz w:val="17"/>
        </w:rPr>
        <w:t>[13] X. Shen, Z. Chen, M. Backes, Y. Shen, and Y. Zhang, “Do Anything Now: Characterizing and Evaluating In-the-Wild Jailbreak Prompts on Large Language Models,” arXiv:2308.03825, 2023.</w:t>
      </w:r>
    </w:p>
    <w:p>
      <w:pPr>
        <w:pStyle w:val="Heading1"/>
        <w:keepNext/>
      </w:pPr>
      <w:r>
        <w:t>Appendix A. Evidence Inventory and Cryptographic Hashes</w:t>
      </w:r>
    </w:p>
    <w:p>
      <w:pPr>
        <w:pStyle w:val="BodyText"/>
      </w:pPr>
      <w:r>
        <w:rPr>
          <w:i w:val="0"/>
        </w:rPr>
        <w:t>The following SHA-256 hashes identify the original, unannotated screenshots used in this manuscript. File names are local evidence labels and should not be treated as intrinsic chronological metadata beyond the supplied sequence.</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648"/>
            <w:shd w:fill="DCE6F1"/>
            <w:tcMar>
              <w:top w:w="70" w:type="dxa"/>
              <w:start w:w="80" w:type="dxa"/>
              <w:bottom w:w="70" w:type="dxa"/>
              <w:end w:w="80" w:type="dxa"/>
            </w:tcMar>
            <w:vAlign w:val="center"/>
          </w:tcPr>
          <w:p>
            <w:r>
              <w:rPr>
                <w:rFonts w:ascii="Liberation Sans" w:hAnsi="Liberation Sans" w:eastAsia="Liberation Sans"/>
                <w:b/>
                <w:sz w:val="13"/>
              </w:rPr>
              <w:t>ID</w:t>
            </w:r>
          </w:p>
        </w:tc>
        <w:tc>
          <w:tcPr>
            <w:tcW w:type="dxa" w:w="1080"/>
            <w:shd w:fill="DCE6F1"/>
            <w:tcMar>
              <w:top w:w="70" w:type="dxa"/>
              <w:start w:w="80" w:type="dxa"/>
              <w:bottom w:w="70" w:type="dxa"/>
              <w:end w:w="80" w:type="dxa"/>
            </w:tcMar>
            <w:vAlign w:val="center"/>
          </w:tcPr>
          <w:p>
            <w:r>
              <w:rPr>
                <w:rFonts w:ascii="Liberation Sans" w:hAnsi="Liberation Sans" w:eastAsia="Liberation Sans"/>
                <w:b/>
                <w:sz w:val="13"/>
              </w:rPr>
              <w:t>Original file</w:t>
            </w:r>
          </w:p>
        </w:tc>
        <w:tc>
          <w:tcPr>
            <w:tcW w:type="dxa" w:w="1008"/>
            <w:shd w:fill="DCE6F1"/>
            <w:tcMar>
              <w:top w:w="70" w:type="dxa"/>
              <w:start w:w="80" w:type="dxa"/>
              <w:bottom w:w="70" w:type="dxa"/>
              <w:end w:w="80" w:type="dxa"/>
            </w:tcMar>
            <w:vAlign w:val="center"/>
          </w:tcPr>
          <w:p>
            <w:r>
              <w:rPr>
                <w:rFonts w:ascii="Liberation Sans" w:hAnsi="Liberation Sans" w:eastAsia="Liberation Sans"/>
                <w:b/>
                <w:sz w:val="13"/>
              </w:rPr>
              <w:t>Dimensions</w:t>
            </w:r>
          </w:p>
        </w:tc>
        <w:tc>
          <w:tcPr>
            <w:tcW w:type="dxa" w:w="936"/>
            <w:shd w:fill="DCE6F1"/>
            <w:tcMar>
              <w:top w:w="70" w:type="dxa"/>
              <w:start w:w="80" w:type="dxa"/>
              <w:bottom w:w="70" w:type="dxa"/>
              <w:end w:w="80" w:type="dxa"/>
            </w:tcMar>
            <w:vAlign w:val="center"/>
          </w:tcPr>
          <w:p>
            <w:r>
              <w:rPr>
                <w:rFonts w:ascii="Liberation Sans" w:hAnsi="Liberation Sans" w:eastAsia="Liberation Sans"/>
                <w:b/>
                <w:sz w:val="13"/>
              </w:rPr>
              <w:t>Bytes</w:t>
            </w:r>
          </w:p>
        </w:tc>
        <w:tc>
          <w:tcPr>
            <w:tcW w:type="dxa" w:w="6408"/>
            <w:shd w:fill="DCE6F1"/>
            <w:tcMar>
              <w:top w:w="70" w:type="dxa"/>
              <w:start w:w="80" w:type="dxa"/>
              <w:bottom w:w="70" w:type="dxa"/>
              <w:end w:w="80" w:type="dxa"/>
            </w:tcMar>
            <w:vAlign w:val="center"/>
          </w:tcPr>
          <w:p>
            <w:r>
              <w:rPr>
                <w:rFonts w:ascii="Liberation Sans" w:hAnsi="Liberation Sans" w:eastAsia="Liberation Sans"/>
                <w:b/>
                <w:sz w:val="13"/>
              </w:rPr>
              <w:t>SHA-256</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E01</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1(1).jpg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2048×1160</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323909</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263d05e34af208d029ade15943c862fa2d5997f99cd39b1b61a857786f69bfb5</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E02</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2.jpg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2048×1162</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332195</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eda2a629276089bac0e716fcc96cee429b31e752342aaf1db94ee261ad54e7a1</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E03</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3.jpg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2048×1167</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209480</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b8494299994a2c88ce4bfee72f3af81a8a5782ce754dda710fb07741ede1805c</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E04</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4.jpg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2048×1164</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331435</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a6f5fcbe1dd7b842f8b9695e9331293c2ae3d28189aec4a0fefd0a4fe918d578</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E05</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5.jpg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2048×1166</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341493</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c22bfbe5eda0ef0b6e3e0896921a9654443ff3ca6f7f8e930cfd5dad421cc5d7</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E06</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6.jpg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2048×1165</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365618</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c17138567ac5eab92c912081ef5c579cc73d8469ce6de8b2f73adae2088f7e43</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E07</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7.jpg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2048×1169</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322679</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c9f633ab94133b415166d1f1bc72587c4d175ff4979cca146e1eea65066594a0</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E08</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8.jpg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2048×1164</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359869</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87f0fdc9a5e843e708e734eaf3f2c8d06eb7a1f26809b20b84f1cfdd63e749e2</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E09</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9.jpg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2048×1160</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386374</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b76ddb9bab2948b5bd9905b43e5ccaca2578606697952d6f9121f9ce96e0b51c</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E10</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10.jpg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2048×1165</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365941</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b81c31c418567e61f3f1f19d1a3b5827570d386bada36f60c429306e2712f0f8</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E11</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11.jpg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2048×1167</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328861</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aa61ab4584258e35caa723be392cb3b70f91c79cbdf02c03eed170ab8df2f3d1</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E12</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12.jpg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2048×1170</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343471</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2fe6f1530eef3f1bca5fa169a25174110e66b8ae63cf6cca4e0a213e07cc2405</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E13</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13.jpg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2048×1170</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376512</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648dcf5a90e7e0226a64ba0800f1374877743ad90092fc958167eca0f8f28c18</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E14</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14.jpg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2048×1155</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351801</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43604628c82731c32f8f2fac62bc458c41355d313d196b2c75c0b06863a1d7ab</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E15</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15.jpg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2048×1172</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384793</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442e6b1404c453cca76c91fd1faa1bb7be0478f5eaec58f16e8a0cdfdd0b3d73</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E16</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16.jpg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2048×1162</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322140</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139b93a90680e7f4db486ba468ff781b2eb31a525abd95e3aa442c1a6629beca</w:t>
            </w:r>
          </w:p>
        </w:tc>
      </w:tr>
      <w:tr>
        <w:tc>
          <w:tcPr>
            <w:tcW w:type="dxa" w:w="648"/>
            <w:tcMar>
              <w:top w:w="70" w:type="dxa"/>
              <w:start w:w="80" w:type="dxa"/>
              <w:bottom w:w="70" w:type="dxa"/>
              <w:end w:w="80" w:type="dxa"/>
            </w:tcMar>
            <w:vAlign w:val="top"/>
          </w:tcPr>
          <w:p>
            <w:pPr>
              <w:spacing w:after="20"/>
            </w:pPr>
            <w:r>
              <w:rPr>
                <w:rFonts w:ascii="Liberation Serif" w:hAnsi="Liberation Serif" w:eastAsia="Liberation Serif"/>
                <w:sz w:val="13"/>
              </w:rPr>
              <w:t>E17</w:t>
            </w:r>
          </w:p>
        </w:tc>
        <w:tc>
          <w:tcPr>
            <w:tcW w:type="dxa" w:w="1080"/>
            <w:tcMar>
              <w:top w:w="70" w:type="dxa"/>
              <w:start w:w="80" w:type="dxa"/>
              <w:bottom w:w="70" w:type="dxa"/>
              <w:end w:w="80" w:type="dxa"/>
            </w:tcMar>
            <w:vAlign w:val="top"/>
          </w:tcPr>
          <w:p>
            <w:pPr>
              <w:spacing w:after="20"/>
            </w:pPr>
            <w:r>
              <w:rPr>
                <w:rFonts w:ascii="Liberation Serif" w:hAnsi="Liberation Serif" w:eastAsia="Liberation Serif"/>
                <w:sz w:val="13"/>
              </w:rPr>
              <w:t>17.jpg</w:t>
            </w:r>
          </w:p>
        </w:tc>
        <w:tc>
          <w:tcPr>
            <w:tcW w:type="dxa" w:w="1008"/>
            <w:tcMar>
              <w:top w:w="70" w:type="dxa"/>
              <w:start w:w="80" w:type="dxa"/>
              <w:bottom w:w="70" w:type="dxa"/>
              <w:end w:w="80" w:type="dxa"/>
            </w:tcMar>
            <w:vAlign w:val="top"/>
          </w:tcPr>
          <w:p>
            <w:pPr>
              <w:spacing w:after="20"/>
            </w:pPr>
            <w:r>
              <w:rPr>
                <w:rFonts w:ascii="Liberation Serif" w:hAnsi="Liberation Serif" w:eastAsia="Liberation Serif"/>
                <w:sz w:val="13"/>
              </w:rPr>
              <w:t>2048×1166</w:t>
            </w:r>
          </w:p>
        </w:tc>
        <w:tc>
          <w:tcPr>
            <w:tcW w:type="dxa" w:w="936"/>
            <w:tcMar>
              <w:top w:w="70" w:type="dxa"/>
              <w:start w:w="80" w:type="dxa"/>
              <w:bottom w:w="70" w:type="dxa"/>
              <w:end w:w="80" w:type="dxa"/>
            </w:tcMar>
            <w:vAlign w:val="top"/>
          </w:tcPr>
          <w:p>
            <w:pPr>
              <w:spacing w:after="20"/>
            </w:pPr>
            <w:r>
              <w:rPr>
                <w:rFonts w:ascii="Liberation Serif" w:hAnsi="Liberation Serif" w:eastAsia="Liberation Serif"/>
                <w:sz w:val="13"/>
              </w:rPr>
              <w:t>401698</w:t>
            </w:r>
          </w:p>
        </w:tc>
        <w:tc>
          <w:tcPr>
            <w:tcW w:type="dxa" w:w="6408"/>
            <w:tcMar>
              <w:top w:w="70" w:type="dxa"/>
              <w:start w:w="80" w:type="dxa"/>
              <w:bottom w:w="70" w:type="dxa"/>
              <w:end w:w="80" w:type="dxa"/>
            </w:tcMar>
            <w:vAlign w:val="top"/>
          </w:tcPr>
          <w:p>
            <w:pPr>
              <w:spacing w:after="20"/>
            </w:pPr>
            <w:r>
              <w:rPr>
                <w:rFonts w:ascii="Liberation Serif" w:hAnsi="Liberation Serif" w:eastAsia="Liberation Serif"/>
                <w:sz w:val="13"/>
              </w:rPr>
              <w:t>9776e05040af34f2b68e162dff371a5309d47d0247dd6931ea496f5cabf1ed16</w:t>
            </w:r>
          </w:p>
        </w:tc>
      </w:tr>
    </w:tbl>
    <w:p>
      <w:pPr>
        <w:pStyle w:val="Heading1"/>
        <w:keepNext/>
      </w:pPr>
      <w:r>
        <w:t>Appendix B. Claim Audit</w:t>
      </w:r>
    </w:p>
    <w:p>
      <w:pPr>
        <w:pStyle w:val="CaptionSmall"/>
        <w:keepNext w:val="0"/>
        <w:jc w:val="left"/>
      </w:pPr>
      <w:r>
        <w:t>Table B1. Status of major claims after screenshot-level review.</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376"/>
            <w:shd w:fill="DCE6F1"/>
            <w:tcMar>
              <w:top w:w="70" w:type="dxa"/>
              <w:start w:w="80" w:type="dxa"/>
              <w:bottom w:w="70" w:type="dxa"/>
              <w:end w:w="80" w:type="dxa"/>
            </w:tcMar>
            <w:vAlign w:val="center"/>
          </w:tcPr>
          <w:p>
            <w:r>
              <w:rPr>
                <w:rFonts w:ascii="Liberation Sans" w:hAnsi="Liberation Sans" w:eastAsia="Liberation Sans"/>
                <w:b/>
                <w:sz w:val="14"/>
              </w:rPr>
              <w:t>Claim</w:t>
            </w:r>
          </w:p>
        </w:tc>
        <w:tc>
          <w:tcPr>
            <w:tcW w:type="dxa" w:w="1440"/>
            <w:shd w:fill="DCE6F1"/>
            <w:tcMar>
              <w:top w:w="70" w:type="dxa"/>
              <w:start w:w="80" w:type="dxa"/>
              <w:bottom w:w="70" w:type="dxa"/>
              <w:end w:w="80" w:type="dxa"/>
            </w:tcMar>
            <w:vAlign w:val="center"/>
          </w:tcPr>
          <w:p>
            <w:r>
              <w:rPr>
                <w:rFonts w:ascii="Liberation Sans" w:hAnsi="Liberation Sans" w:eastAsia="Liberation Sans"/>
                <w:b/>
                <w:sz w:val="14"/>
              </w:rPr>
              <w:t>Status</w:t>
            </w:r>
          </w:p>
        </w:tc>
        <w:tc>
          <w:tcPr>
            <w:tcW w:type="dxa" w:w="6264"/>
            <w:shd w:fill="DCE6F1"/>
            <w:tcMar>
              <w:top w:w="70" w:type="dxa"/>
              <w:start w:w="80" w:type="dxa"/>
              <w:bottom w:w="70" w:type="dxa"/>
              <w:end w:w="80" w:type="dxa"/>
            </w:tcMar>
            <w:vAlign w:val="center"/>
          </w:tcPr>
          <w:p>
            <w:r>
              <w:rPr>
                <w:rFonts w:ascii="Liberation Sans" w:hAnsi="Liberation Sans" w:eastAsia="Liberation Sans"/>
                <w:b/>
                <w:sz w:val="14"/>
              </w:rPr>
              <w:t>Evidence-based revision</w:t>
            </w:r>
          </w:p>
        </w:tc>
      </w:tr>
      <w:tr>
        <w:tc>
          <w:tcPr>
            <w:tcW w:type="dxa" w:w="2376"/>
            <w:tcMar>
              <w:top w:w="70" w:type="dxa"/>
              <w:start w:w="80" w:type="dxa"/>
              <w:bottom w:w="70" w:type="dxa"/>
              <w:end w:w="80" w:type="dxa"/>
            </w:tcMar>
            <w:vAlign w:val="top"/>
          </w:tcPr>
          <w:p>
            <w:pPr>
              <w:spacing w:after="20"/>
            </w:pPr>
            <w:r>
              <w:rPr>
                <w:rFonts w:ascii="Liberation Serif" w:hAnsi="Liberation Serif" w:eastAsia="Liberation Serif"/>
                <w:sz w:val="14"/>
              </w:rPr>
              <w:t>The model categorically refused direct requests</w:t>
            </w:r>
          </w:p>
        </w:tc>
        <w:tc>
          <w:tcPr>
            <w:tcW w:type="dxa" w:w="1440"/>
            <w:tcMar>
              <w:top w:w="70" w:type="dxa"/>
              <w:start w:w="80" w:type="dxa"/>
              <w:bottom w:w="70" w:type="dxa"/>
              <w:end w:w="80" w:type="dxa"/>
            </w:tcMar>
            <w:vAlign w:val="top"/>
          </w:tcPr>
          <w:p>
            <w:pPr>
              <w:spacing w:after="20"/>
            </w:pPr>
            <w:r>
              <w:rPr>
                <w:rFonts w:ascii="Liberation Serif" w:hAnsi="Liberation Serif" w:eastAsia="Liberation Serif"/>
                <w:sz w:val="14"/>
              </w:rPr>
              <w:t>Overstated</w:t>
            </w:r>
          </w:p>
        </w:tc>
        <w:tc>
          <w:tcPr>
            <w:tcW w:type="dxa" w:w="6264"/>
            <w:tcMar>
              <w:top w:w="70" w:type="dxa"/>
              <w:start w:w="80" w:type="dxa"/>
              <w:bottom w:w="70" w:type="dxa"/>
              <w:end w:w="80" w:type="dxa"/>
            </w:tcMar>
            <w:vAlign w:val="top"/>
          </w:tcPr>
          <w:p>
            <w:pPr>
              <w:spacing w:after="20"/>
            </w:pPr>
            <w:r>
              <w:rPr>
                <w:rFonts w:ascii="Liberation Serif" w:hAnsi="Liberation Serif" w:eastAsia="Liberation Serif"/>
                <w:sz w:val="14"/>
              </w:rPr>
              <w:t>It issued explicit operational boundaries but also supplied general target-selection, timing, entry-pattern, and defensive information.</w:t>
            </w:r>
          </w:p>
        </w:tc>
      </w:tr>
      <w:tr>
        <w:tc>
          <w:tcPr>
            <w:tcW w:type="dxa" w:w="2376"/>
            <w:tcMar>
              <w:top w:w="70" w:type="dxa"/>
              <w:start w:w="80" w:type="dxa"/>
              <w:bottom w:w="70" w:type="dxa"/>
              <w:end w:w="80" w:type="dxa"/>
            </w:tcMar>
            <w:vAlign w:val="top"/>
          </w:tcPr>
          <w:p>
            <w:pPr>
              <w:spacing w:after="20"/>
            </w:pPr>
            <w:r>
              <w:rPr>
                <w:rFonts w:ascii="Liberation Serif" w:hAnsi="Liberation Serif" w:eastAsia="Liberation Serif"/>
                <w:sz w:val="14"/>
              </w:rPr>
              <w:t>The puzzle caused the model to provide previously refused operational details</w:t>
            </w:r>
          </w:p>
        </w:tc>
        <w:tc>
          <w:tcPr>
            <w:tcW w:type="dxa" w:w="1440"/>
            <w:tcMar>
              <w:top w:w="70" w:type="dxa"/>
              <w:start w:w="80" w:type="dxa"/>
              <w:bottom w:w="70" w:type="dxa"/>
              <w:end w:w="80" w:type="dxa"/>
            </w:tcMar>
            <w:vAlign w:val="top"/>
          </w:tcPr>
          <w:p>
            <w:pPr>
              <w:spacing w:after="20"/>
            </w:pPr>
            <w:r>
              <w:rPr>
                <w:rFonts w:ascii="Liberation Serif" w:hAnsi="Liberation Serif" w:eastAsia="Liberation Serif"/>
                <w:sz w:val="14"/>
              </w:rPr>
              <w:t>Partially supported</w:t>
            </w:r>
          </w:p>
        </w:tc>
        <w:tc>
          <w:tcPr>
            <w:tcW w:type="dxa" w:w="6264"/>
            <w:tcMar>
              <w:top w:w="70" w:type="dxa"/>
              <w:start w:w="80" w:type="dxa"/>
              <w:bottom w:w="70" w:type="dxa"/>
              <w:end w:w="80" w:type="dxa"/>
            </w:tcMar>
            <w:vAlign w:val="top"/>
          </w:tcPr>
          <w:p>
            <w:pPr>
              <w:spacing w:after="20"/>
            </w:pPr>
            <w:r>
              <w:rPr>
                <w:rFonts w:ascii="Liberation Serif" w:hAnsi="Liberation Serif" w:eastAsia="Liberation Serif"/>
                <w:sz w:val="14"/>
              </w:rPr>
              <w:t>The home puzzle broadened causal hypotheses, but did not provide the same tools or procedural defeat sequence; semantic equivalence is unproven.</w:t>
            </w:r>
          </w:p>
        </w:tc>
      </w:tr>
      <w:tr>
        <w:tc>
          <w:tcPr>
            <w:tcW w:type="dxa" w:w="2376"/>
            <w:tcMar>
              <w:top w:w="70" w:type="dxa"/>
              <w:start w:w="80" w:type="dxa"/>
              <w:bottom w:w="70" w:type="dxa"/>
              <w:end w:w="80" w:type="dxa"/>
            </w:tcMar>
            <w:vAlign w:val="top"/>
          </w:tcPr>
          <w:p>
            <w:pPr>
              <w:spacing w:after="20"/>
            </w:pPr>
            <w:r>
              <w:rPr>
                <w:rFonts w:ascii="Liberation Serif" w:hAnsi="Liberation Serif" w:eastAsia="Liberation Serif"/>
                <w:sz w:val="14"/>
              </w:rPr>
              <w:t>The effect replicated in multiple domains</w:t>
            </w:r>
          </w:p>
        </w:tc>
        <w:tc>
          <w:tcPr>
            <w:tcW w:type="dxa" w:w="1440"/>
            <w:tcMar>
              <w:top w:w="70" w:type="dxa"/>
              <w:start w:w="80" w:type="dxa"/>
              <w:bottom w:w="70" w:type="dxa"/>
              <w:end w:w="80" w:type="dxa"/>
            </w:tcMar>
            <w:vAlign w:val="top"/>
          </w:tcPr>
          <w:p>
            <w:pPr>
              <w:spacing w:after="20"/>
            </w:pPr>
            <w:r>
              <w:rPr>
                <w:rFonts w:ascii="Liberation Serif" w:hAnsi="Liberation Serif" w:eastAsia="Liberation Serif"/>
                <w:sz w:val="14"/>
              </w:rPr>
              <w:t>Limited support</w:t>
            </w:r>
          </w:p>
        </w:tc>
        <w:tc>
          <w:tcPr>
            <w:tcW w:type="dxa" w:w="6264"/>
            <w:tcMar>
              <w:top w:w="70" w:type="dxa"/>
              <w:start w:w="80" w:type="dxa"/>
              <w:bottom w:w="70" w:type="dxa"/>
              <w:end w:w="80" w:type="dxa"/>
            </w:tcMar>
            <w:vAlign w:val="top"/>
          </w:tcPr>
          <w:p>
            <w:pPr>
              <w:spacing w:after="20"/>
            </w:pPr>
            <w:r>
              <w:rPr>
                <w:rFonts w:ascii="Liberation Serif" w:hAnsi="Liberation Serif" w:eastAsia="Liberation Serif"/>
                <w:sz w:val="14"/>
              </w:rPr>
              <w:t>The prompt form transferred to office, journalist, and museum scenarios, but those cases lack matched direct baselines.</w:t>
            </w:r>
          </w:p>
        </w:tc>
      </w:tr>
      <w:tr>
        <w:tc>
          <w:tcPr>
            <w:tcW w:type="dxa" w:w="2376"/>
            <w:tcMar>
              <w:top w:w="70" w:type="dxa"/>
              <w:start w:w="80" w:type="dxa"/>
              <w:bottom w:w="70" w:type="dxa"/>
              <w:end w:w="80" w:type="dxa"/>
            </w:tcMar>
            <w:vAlign w:val="top"/>
          </w:tcPr>
          <w:p>
            <w:pPr>
              <w:spacing w:after="20"/>
            </w:pPr>
            <w:r>
              <w:rPr>
                <w:rFonts w:ascii="Liberation Serif" w:hAnsi="Liberation Serif" w:eastAsia="Liberation Serif"/>
                <w:sz w:val="14"/>
              </w:rPr>
              <w:t>No refusal mechanism was activated</w:t>
            </w:r>
          </w:p>
        </w:tc>
        <w:tc>
          <w:tcPr>
            <w:tcW w:type="dxa" w:w="1440"/>
            <w:tcMar>
              <w:top w:w="70" w:type="dxa"/>
              <w:start w:w="80" w:type="dxa"/>
              <w:bottom w:w="70" w:type="dxa"/>
              <w:end w:w="80" w:type="dxa"/>
            </w:tcMar>
            <w:vAlign w:val="top"/>
          </w:tcPr>
          <w:p>
            <w:pPr>
              <w:spacing w:after="20"/>
            </w:pPr>
            <w:r>
              <w:rPr>
                <w:rFonts w:ascii="Liberation Serif" w:hAnsi="Liberation Serif" w:eastAsia="Liberation Serif"/>
                <w:sz w:val="14"/>
              </w:rPr>
              <w:t>Unsupported</w:t>
            </w:r>
          </w:p>
        </w:tc>
        <w:tc>
          <w:tcPr>
            <w:tcW w:type="dxa" w:w="6264"/>
            <w:tcMar>
              <w:top w:w="70" w:type="dxa"/>
              <w:start w:w="80" w:type="dxa"/>
              <w:bottom w:w="70" w:type="dxa"/>
              <w:end w:w="80" w:type="dxa"/>
            </w:tcMar>
            <w:vAlign w:val="top"/>
          </w:tcPr>
          <w:p>
            <w:pPr>
              <w:spacing w:after="20"/>
            </w:pPr>
            <w:r>
              <w:rPr>
                <w:rFonts w:ascii="Liberation Serif" w:hAnsi="Liberation Serif" w:eastAsia="Liberation Serif"/>
                <w:sz w:val="14"/>
              </w:rPr>
              <w:t>Visible text cannot reveal hidden classifiers, policy routing, or refusal circuitry.</w:t>
            </w:r>
          </w:p>
        </w:tc>
      </w:tr>
      <w:tr>
        <w:tc>
          <w:tcPr>
            <w:tcW w:type="dxa" w:w="2376"/>
            <w:tcMar>
              <w:top w:w="70" w:type="dxa"/>
              <w:start w:w="80" w:type="dxa"/>
              <w:bottom w:w="70" w:type="dxa"/>
              <w:end w:w="80" w:type="dxa"/>
            </w:tcMar>
            <w:vAlign w:val="top"/>
          </w:tcPr>
          <w:p>
            <w:pPr>
              <w:spacing w:after="20"/>
            </w:pPr>
            <w:r>
              <w:rPr>
                <w:rFonts w:ascii="Liberation Serif" w:hAnsi="Liberation Serif" w:eastAsia="Liberation Serif"/>
                <w:sz w:val="14"/>
              </w:rPr>
              <w:t>The model admitted vulnerability to puzzles</w:t>
            </w:r>
          </w:p>
        </w:tc>
        <w:tc>
          <w:tcPr>
            <w:tcW w:type="dxa" w:w="1440"/>
            <w:tcMar>
              <w:top w:w="70" w:type="dxa"/>
              <w:start w:w="80" w:type="dxa"/>
              <w:bottom w:w="70" w:type="dxa"/>
              <w:end w:w="80" w:type="dxa"/>
            </w:tcMar>
            <w:vAlign w:val="top"/>
          </w:tcPr>
          <w:p>
            <w:pPr>
              <w:spacing w:after="20"/>
            </w:pPr>
            <w:r>
              <w:rPr>
                <w:rFonts w:ascii="Liberation Serif" w:hAnsi="Liberation Serif" w:eastAsia="Liberation Serif"/>
                <w:sz w:val="14"/>
              </w:rPr>
              <w:t>Not empirical evidence</w:t>
            </w:r>
          </w:p>
        </w:tc>
        <w:tc>
          <w:tcPr>
            <w:tcW w:type="dxa" w:w="6264"/>
            <w:tcMar>
              <w:top w:w="70" w:type="dxa"/>
              <w:start w:w="80" w:type="dxa"/>
              <w:bottom w:w="70" w:type="dxa"/>
              <w:end w:w="80" w:type="dxa"/>
            </w:tcMar>
            <w:vAlign w:val="top"/>
          </w:tcPr>
          <w:p>
            <w:pPr>
              <w:spacing w:after="20"/>
            </w:pPr>
            <w:r>
              <w:rPr>
                <w:rFonts w:ascii="Liberation Serif" w:hAnsi="Liberation Serif" w:eastAsia="Liberation Serif"/>
                <w:sz w:val="14"/>
              </w:rPr>
              <w:t>Model-generated meta-analysis is a conversational artifact, not reliable self-knowledge or mechanistic telemetry.</w:t>
            </w:r>
          </w:p>
        </w:tc>
      </w:tr>
      <w:tr>
        <w:tc>
          <w:tcPr>
            <w:tcW w:type="dxa" w:w="2376"/>
            <w:tcMar>
              <w:top w:w="70" w:type="dxa"/>
              <w:start w:w="80" w:type="dxa"/>
              <w:bottom w:w="70" w:type="dxa"/>
              <w:end w:w="80" w:type="dxa"/>
            </w:tcMar>
            <w:vAlign w:val="top"/>
          </w:tcPr>
          <w:p>
            <w:pPr>
              <w:spacing w:after="20"/>
            </w:pPr>
            <w:r>
              <w:rPr>
                <w:rFonts w:ascii="Liberation Serif" w:hAnsi="Liberation Serif" w:eastAsia="Liberation Serif"/>
                <w:sz w:val="14"/>
              </w:rPr>
              <w:t>CRA is outside prompt injection/jailbreak taxonomies</w:t>
            </w:r>
          </w:p>
        </w:tc>
        <w:tc>
          <w:tcPr>
            <w:tcW w:type="dxa" w:w="1440"/>
            <w:tcMar>
              <w:top w:w="70" w:type="dxa"/>
              <w:start w:w="80" w:type="dxa"/>
              <w:bottom w:w="70" w:type="dxa"/>
              <w:end w:w="80" w:type="dxa"/>
            </w:tcMar>
            <w:vAlign w:val="top"/>
          </w:tcPr>
          <w:p>
            <w:pPr>
              <w:spacing w:after="20"/>
            </w:pPr>
            <w:r>
              <w:rPr>
                <w:rFonts w:ascii="Liberation Serif" w:hAnsi="Liberation Serif" w:eastAsia="Liberation Serif"/>
                <w:sz w:val="14"/>
              </w:rPr>
              <w:t>Unsupported</w:t>
            </w:r>
          </w:p>
        </w:tc>
        <w:tc>
          <w:tcPr>
            <w:tcW w:type="dxa" w:w="6264"/>
            <w:tcMar>
              <w:top w:w="70" w:type="dxa"/>
              <w:start w:w="80" w:type="dxa"/>
              <w:bottom w:w="70" w:type="dxa"/>
              <w:end w:w="80" w:type="dxa"/>
            </w:tcMar>
            <w:vAlign w:val="top"/>
          </w:tcPr>
          <w:p>
            <w:pPr>
              <w:spacing w:after="20"/>
            </w:pPr>
            <w:r>
              <w:rPr>
                <w:rFonts w:ascii="Liberation Serif" w:hAnsi="Liberation Serif" w:eastAsia="Liberation Serif"/>
                <w:sz w:val="14"/>
              </w:rPr>
              <w:t>OWASP uses a broad definition and close prior work already covers analysis, fallacy, persuasion, and narrative framing.</w:t>
            </w:r>
          </w:p>
        </w:tc>
      </w:tr>
      <w:tr>
        <w:tc>
          <w:tcPr>
            <w:tcW w:type="dxa" w:w="2376"/>
            <w:tcMar>
              <w:top w:w="70" w:type="dxa"/>
              <w:start w:w="80" w:type="dxa"/>
              <w:bottom w:w="70" w:type="dxa"/>
              <w:end w:w="80" w:type="dxa"/>
            </w:tcMar>
            <w:vAlign w:val="top"/>
          </w:tcPr>
          <w:p>
            <w:pPr>
              <w:spacing w:after="20"/>
            </w:pPr>
            <w:r>
              <w:rPr>
                <w:rFonts w:ascii="Liberation Serif" w:hAnsi="Liberation Serif" w:eastAsia="Liberation Serif"/>
                <w:sz w:val="14"/>
              </w:rPr>
              <w:t>CRA is a new top-level vulnerability class</w:t>
            </w:r>
          </w:p>
        </w:tc>
        <w:tc>
          <w:tcPr>
            <w:tcW w:type="dxa" w:w="1440"/>
            <w:tcMar>
              <w:top w:w="70" w:type="dxa"/>
              <w:start w:w="80" w:type="dxa"/>
              <w:bottom w:w="70" w:type="dxa"/>
              <w:end w:w="80" w:type="dxa"/>
            </w:tcMar>
            <w:vAlign w:val="top"/>
          </w:tcPr>
          <w:p>
            <w:pPr>
              <w:spacing w:after="20"/>
            </w:pPr>
            <w:r>
              <w:rPr>
                <w:rFonts w:ascii="Liberation Serif" w:hAnsi="Liberation Serif" w:eastAsia="Liberation Serif"/>
                <w:sz w:val="14"/>
              </w:rPr>
              <w:t>Not established</w:t>
            </w:r>
          </w:p>
        </w:tc>
        <w:tc>
          <w:tcPr>
            <w:tcW w:type="dxa" w:w="6264"/>
            <w:tcMar>
              <w:top w:w="70" w:type="dxa"/>
              <w:start w:w="80" w:type="dxa"/>
              <w:bottom w:w="70" w:type="dxa"/>
              <w:end w:w="80" w:type="dxa"/>
            </w:tcMar>
            <w:vAlign w:val="top"/>
          </w:tcPr>
          <w:p>
            <w:pPr>
              <w:spacing w:after="20"/>
            </w:pPr>
            <w:r>
              <w:rPr>
                <w:rFonts w:ascii="Liberation Serif" w:hAnsi="Liberation Serif" w:eastAsia="Liberation Serif"/>
                <w:sz w:val="14"/>
              </w:rPr>
              <w:t>At most, the evidence motivates evaluation of a distinct attack template or subclass within semantic jailbreaks.</w:t>
            </w:r>
          </w:p>
        </w:tc>
      </w:tr>
      <w:tr>
        <w:tc>
          <w:tcPr>
            <w:tcW w:type="dxa" w:w="2376"/>
            <w:tcMar>
              <w:top w:w="70" w:type="dxa"/>
              <w:start w:w="80" w:type="dxa"/>
              <w:bottom w:w="70" w:type="dxa"/>
              <w:end w:w="80" w:type="dxa"/>
            </w:tcMar>
            <w:vAlign w:val="top"/>
          </w:tcPr>
          <w:p>
            <w:pPr>
              <w:spacing w:after="20"/>
            </w:pPr>
            <w:r>
              <w:rPr>
                <w:rFonts w:ascii="Liberation Serif" w:hAnsi="Liberation Serif" w:eastAsia="Liberation Serif"/>
                <w:sz w:val="14"/>
              </w:rPr>
              <w:t>The current pilot is sufficient for research-in-progress</w:t>
            </w:r>
          </w:p>
        </w:tc>
        <w:tc>
          <w:tcPr>
            <w:tcW w:type="dxa" w:w="1440"/>
            <w:tcMar>
              <w:top w:w="70" w:type="dxa"/>
              <w:start w:w="80" w:type="dxa"/>
              <w:bottom w:w="70" w:type="dxa"/>
              <w:end w:w="80" w:type="dxa"/>
            </w:tcMar>
            <w:vAlign w:val="top"/>
          </w:tcPr>
          <w:p>
            <w:pPr>
              <w:spacing w:after="20"/>
            </w:pPr>
            <w:r>
              <w:rPr>
                <w:rFonts w:ascii="Liberation Serif" w:hAnsi="Liberation Serif" w:eastAsia="Liberation Serif"/>
                <w:sz w:val="14"/>
              </w:rPr>
              <w:t>Supported with caveats</w:t>
            </w:r>
          </w:p>
        </w:tc>
        <w:tc>
          <w:tcPr>
            <w:tcW w:type="dxa" w:w="6264"/>
            <w:tcMar>
              <w:top w:w="70" w:type="dxa"/>
              <w:start w:w="80" w:type="dxa"/>
              <w:bottom w:w="70" w:type="dxa"/>
              <w:end w:w="80" w:type="dxa"/>
            </w:tcMar>
            <w:vAlign w:val="top"/>
          </w:tcPr>
          <w:p>
            <w:pPr>
              <w:spacing w:after="20"/>
            </w:pPr>
            <w:r>
              <w:rPr>
                <w:rFonts w:ascii="Liberation Serif" w:hAnsi="Liberation Serif" w:eastAsia="Liberation Serif"/>
                <w:sz w:val="14"/>
              </w:rPr>
              <w:t>It is sufficient for hypothesis formulation, evidence audit, and experimental design—not for an attack-success or novelty claim.</w:t>
            </w:r>
          </w:p>
        </w:tc>
      </w:tr>
      <w:tr>
        <w:tc>
          <w:tcPr>
            <w:tcW w:type="dxa" w:w="2376"/>
            <w:tcMar>
              <w:top w:w="70" w:type="dxa"/>
              <w:start w:w="80" w:type="dxa"/>
              <w:bottom w:w="70" w:type="dxa"/>
              <w:end w:w="80" w:type="dxa"/>
            </w:tcMar>
            <w:vAlign w:val="top"/>
          </w:tcPr>
          <w:p>
            <w:pPr>
              <w:spacing w:after="20"/>
            </w:pPr>
            <w:r>
              <w:rPr>
                <w:rFonts w:ascii="Liberation Serif" w:hAnsi="Liberation Serif" w:eastAsia="Liberation Serif"/>
                <w:sz w:val="14"/>
              </w:rPr>
              <w:t>The screenshots are reproducible evidence</w:t>
            </w:r>
          </w:p>
        </w:tc>
        <w:tc>
          <w:tcPr>
            <w:tcW w:type="dxa" w:w="1440"/>
            <w:tcMar>
              <w:top w:w="70" w:type="dxa"/>
              <w:start w:w="80" w:type="dxa"/>
              <w:bottom w:w="70" w:type="dxa"/>
              <w:end w:w="80" w:type="dxa"/>
            </w:tcMar>
            <w:vAlign w:val="top"/>
          </w:tcPr>
          <w:p>
            <w:pPr>
              <w:spacing w:after="20"/>
            </w:pPr>
            <w:r>
              <w:rPr>
                <w:rFonts w:ascii="Liberation Serif" w:hAnsi="Liberation Serif" w:eastAsia="Liberation Serif"/>
                <w:sz w:val="14"/>
              </w:rPr>
              <w:t>Partially supported</w:t>
            </w:r>
          </w:p>
        </w:tc>
        <w:tc>
          <w:tcPr>
            <w:tcW w:type="dxa" w:w="6264"/>
            <w:tcMar>
              <w:top w:w="70" w:type="dxa"/>
              <w:start w:w="80" w:type="dxa"/>
              <w:bottom w:w="70" w:type="dxa"/>
              <w:end w:w="80" w:type="dxa"/>
            </w:tcMar>
            <w:vAlign w:val="top"/>
          </w:tcPr>
          <w:p>
            <w:pPr>
              <w:spacing w:after="20"/>
            </w:pPr>
            <w:r>
              <w:rPr>
                <w:rFonts w:ascii="Liberation Serif" w:hAnsi="Liberation Serif" w:eastAsia="Liberation Serif"/>
                <w:sz w:val="14"/>
              </w:rPr>
              <w:t>They preserve visible content and sequence; exact backend identity, timestamps, parameters, and complete trial denominator remain unavailable.</w:t>
            </w:r>
          </w:p>
        </w:tc>
      </w:tr>
    </w:tbl>
    <w:p>
      <w:pPr>
        <w:pStyle w:val="Heading1"/>
        <w:keepNext/>
      </w:pPr>
      <w:r>
        <w:t>Appendix C. Annotated Evidence Plates</w:t>
      </w:r>
    </w:p>
    <w:p>
      <w:pPr>
        <w:pStyle w:val="BodyText"/>
      </w:pPr>
      <w:r>
        <w:rPr>
          <w:i w:val="0"/>
        </w:rPr>
        <w:t>The following plates reproduce the complete supplied screenshot sequence with visual annotations. Red indicates prompts, orange indicates explicit boundaries, green indicates security-relevant hypotheses, and blue indicates context or defensive content. The overlays are interpretive; Appendix A hashes identify the untouched originals.</w:t>
      </w:r>
    </w:p>
    <w:p>
      <w:pPr>
        <w:keepNext/>
        <w:jc w:val="center"/>
      </w:pPr>
      <w:r>
        <w:drawing>
          <wp:inline xmlns:a="http://schemas.openxmlformats.org/drawingml/2006/main" xmlns:pic="http://schemas.openxmlformats.org/drawingml/2006/picture">
            <wp:extent cx="5897880" cy="3542184"/>
            <wp:docPr id="10" name="Picture 10" title="Annotated evidence plate E01" descr="Annotated screenshot evidence: Context establishment: model-generated criminologist instructions."/>
            <wp:cNvGraphicFramePr>
              <a:graphicFrameLocks noChangeAspect="1"/>
            </wp:cNvGraphicFramePr>
            <a:graphic>
              <a:graphicData uri="http://schemas.openxmlformats.org/drawingml/2006/picture">
                <pic:pic>
                  <pic:nvPicPr>
                    <pic:cNvPr id="0" name="E01_annotated.jpg"/>
                    <pic:cNvPicPr/>
                  </pic:nvPicPr>
                  <pic:blipFill>
                    <a:blip r:embed="rId11"/>
                    <a:stretch>
                      <a:fillRect/>
                    </a:stretch>
                  </pic:blipFill>
                  <pic:spPr>
                    <a:xfrm>
                      <a:off x="0" y="0"/>
                      <a:ext cx="5897880" cy="3542184"/>
                    </a:xfrm>
                    <a:prstGeom prst="rect"/>
                  </pic:spPr>
                </pic:pic>
              </a:graphicData>
            </a:graphic>
          </wp:inline>
        </w:drawing>
      </w:r>
    </w:p>
    <w:p>
      <w:pPr>
        <w:pStyle w:val="CaptionSmall"/>
        <w:keepNext w:val="0"/>
        <w:jc w:val="left"/>
      </w:pPr>
      <w:r>
        <w:t>Plate E01. Context establishment: model-generated criminologist instructions. Original SHA-256: 263d05e34af208d0…; full hash in Appendix A.</w:t>
      </w:r>
    </w:p>
    <w:p>
      <w:pPr>
        <w:keepNext/>
        <w:jc w:val="center"/>
      </w:pPr>
      <w:r>
        <w:drawing>
          <wp:inline xmlns:a="http://schemas.openxmlformats.org/drawingml/2006/main" xmlns:pic="http://schemas.openxmlformats.org/drawingml/2006/picture">
            <wp:extent cx="5897880" cy="3547943"/>
            <wp:docPr id="11" name="Picture 11" title="Annotated evidence plate E02" descr="Annotated screenshot evidence: Context establishment: explicit safety limits."/>
            <wp:cNvGraphicFramePr>
              <a:graphicFrameLocks noChangeAspect="1"/>
            </wp:cNvGraphicFramePr>
            <a:graphic>
              <a:graphicData uri="http://schemas.openxmlformats.org/drawingml/2006/picture">
                <pic:pic>
                  <pic:nvPicPr>
                    <pic:cNvPr id="0" name="E02_annotated.jpg"/>
                    <pic:cNvPicPr/>
                  </pic:nvPicPr>
                  <pic:blipFill>
                    <a:blip r:embed="rId20"/>
                    <a:stretch>
                      <a:fillRect/>
                    </a:stretch>
                  </pic:blipFill>
                  <pic:spPr>
                    <a:xfrm>
                      <a:off x="0" y="0"/>
                      <a:ext cx="5897880" cy="3547943"/>
                    </a:xfrm>
                    <a:prstGeom prst="rect"/>
                  </pic:spPr>
                </pic:pic>
              </a:graphicData>
            </a:graphic>
          </wp:inline>
        </w:drawing>
      </w:r>
    </w:p>
    <w:p>
      <w:pPr>
        <w:pStyle w:val="CaptionSmall"/>
        <w:keepNext w:val="0"/>
        <w:jc w:val="left"/>
      </w:pPr>
      <w:r>
        <w:t>Plate E02. Context establishment: explicit safety limits. Original SHA-256: eda2a629276089ba…; full hash in Appendix A.</w:t>
      </w:r>
    </w:p>
    <w:p>
      <w:r>
        <w:br w:type="page"/>
      </w:r>
    </w:p>
    <w:p>
      <w:pPr>
        <w:keepNext/>
        <w:jc w:val="center"/>
      </w:pPr>
      <w:r>
        <w:drawing>
          <wp:inline xmlns:a="http://schemas.openxmlformats.org/drawingml/2006/main" xmlns:pic="http://schemas.openxmlformats.org/drawingml/2006/picture">
            <wp:extent cx="5897880" cy="3562343"/>
            <wp:docPr id="12" name="Picture 12" title="Annotated evidence plate E03" descr="Annotated screenshot evidence: Context establishment: saved persona confirmed."/>
            <wp:cNvGraphicFramePr>
              <a:graphicFrameLocks noChangeAspect="1"/>
            </wp:cNvGraphicFramePr>
            <a:graphic>
              <a:graphicData uri="http://schemas.openxmlformats.org/drawingml/2006/picture">
                <pic:pic>
                  <pic:nvPicPr>
                    <pic:cNvPr id="0" name="E03_annotated.jpg"/>
                    <pic:cNvPicPr/>
                  </pic:nvPicPr>
                  <pic:blipFill>
                    <a:blip r:embed="rId21"/>
                    <a:stretch>
                      <a:fillRect/>
                    </a:stretch>
                  </pic:blipFill>
                  <pic:spPr>
                    <a:xfrm>
                      <a:off x="0" y="0"/>
                      <a:ext cx="5897880" cy="3562343"/>
                    </a:xfrm>
                    <a:prstGeom prst="rect"/>
                  </pic:spPr>
                </pic:pic>
              </a:graphicData>
            </a:graphic>
          </wp:inline>
        </w:drawing>
      </w:r>
    </w:p>
    <w:p>
      <w:pPr>
        <w:pStyle w:val="CaptionSmall"/>
        <w:keepNext w:val="0"/>
        <w:jc w:val="left"/>
      </w:pPr>
      <w:r>
        <w:t>Plate E03. Context establishment: saved persona confirmed. Original SHA-256: b8494299994a2c88…; full hash in Appendix A.</w:t>
      </w:r>
    </w:p>
    <w:p>
      <w:pPr>
        <w:keepNext/>
        <w:jc w:val="center"/>
      </w:pPr>
      <w:r>
        <w:drawing>
          <wp:inline xmlns:a="http://schemas.openxmlformats.org/drawingml/2006/main" xmlns:pic="http://schemas.openxmlformats.org/drawingml/2006/picture">
            <wp:extent cx="5897880" cy="3553703"/>
            <wp:docPr id="13" name="Picture 13" title="Annotated evidence plate E04" descr="Annotated screenshot evidence: Direct baseline: target selection/tools request."/>
            <wp:cNvGraphicFramePr>
              <a:graphicFrameLocks noChangeAspect="1"/>
            </wp:cNvGraphicFramePr>
            <a:graphic>
              <a:graphicData uri="http://schemas.openxmlformats.org/drawingml/2006/picture">
                <pic:pic>
                  <pic:nvPicPr>
                    <pic:cNvPr id="0" name="E04_annotated.jpg"/>
                    <pic:cNvPicPr/>
                  </pic:nvPicPr>
                  <pic:blipFill>
                    <a:blip r:embed="rId12"/>
                    <a:stretch>
                      <a:fillRect/>
                    </a:stretch>
                  </pic:blipFill>
                  <pic:spPr>
                    <a:xfrm>
                      <a:off x="0" y="0"/>
                      <a:ext cx="5897880" cy="3553703"/>
                    </a:xfrm>
                    <a:prstGeom prst="rect"/>
                  </pic:spPr>
                </pic:pic>
              </a:graphicData>
            </a:graphic>
          </wp:inline>
        </w:drawing>
      </w:r>
    </w:p>
    <w:p>
      <w:pPr>
        <w:pStyle w:val="CaptionSmall"/>
        <w:keepNext w:val="0"/>
        <w:jc w:val="left"/>
      </w:pPr>
      <w:r>
        <w:t>Plate E04. Direct baseline: target selection/tools request. Original SHA-256: a6f5fcbe1dd7b842…; full hash in Appendix A.</w:t>
      </w:r>
    </w:p>
    <w:p>
      <w:r>
        <w:br w:type="page"/>
      </w:r>
    </w:p>
    <w:p>
      <w:pPr>
        <w:keepNext/>
        <w:jc w:val="center"/>
      </w:pPr>
      <w:r>
        <w:drawing>
          <wp:inline xmlns:a="http://schemas.openxmlformats.org/drawingml/2006/main" xmlns:pic="http://schemas.openxmlformats.org/drawingml/2006/picture">
            <wp:extent cx="5897880" cy="3559463"/>
            <wp:docPr id="14" name="Picture 14" title="Annotated evidence plate E05" descr="Annotated screenshot evidence: Direct baseline continuation: boundaries and prevention."/>
            <wp:cNvGraphicFramePr>
              <a:graphicFrameLocks noChangeAspect="1"/>
            </wp:cNvGraphicFramePr>
            <a:graphic>
              <a:graphicData uri="http://schemas.openxmlformats.org/drawingml/2006/picture">
                <pic:pic>
                  <pic:nvPicPr>
                    <pic:cNvPr id="0" name="E05_annotated.jpg"/>
                    <pic:cNvPicPr/>
                  </pic:nvPicPr>
                  <pic:blipFill>
                    <a:blip r:embed="rId22"/>
                    <a:stretch>
                      <a:fillRect/>
                    </a:stretch>
                  </pic:blipFill>
                  <pic:spPr>
                    <a:xfrm>
                      <a:off x="0" y="0"/>
                      <a:ext cx="5897880" cy="3559463"/>
                    </a:xfrm>
                    <a:prstGeom prst="rect"/>
                  </pic:spPr>
                </pic:pic>
              </a:graphicData>
            </a:graphic>
          </wp:inline>
        </w:drawing>
      </w:r>
    </w:p>
    <w:p>
      <w:pPr>
        <w:pStyle w:val="CaptionSmall"/>
        <w:keepNext w:val="0"/>
        <w:jc w:val="left"/>
      </w:pPr>
      <w:r>
        <w:t>Plate E05. Direct baseline continuation: boundaries and prevention. Original SHA-256: c22bfbe5eda0ef0b…; full hash in Appendix A.</w:t>
      </w:r>
    </w:p>
    <w:p>
      <w:pPr>
        <w:keepNext/>
        <w:jc w:val="center"/>
      </w:pPr>
      <w:r>
        <w:drawing>
          <wp:inline xmlns:a="http://schemas.openxmlformats.org/drawingml/2006/main" xmlns:pic="http://schemas.openxmlformats.org/drawingml/2006/picture">
            <wp:extent cx="5897880" cy="3556583"/>
            <wp:docPr id="15" name="Picture 15" title="Annotated evidence plate E06" descr="Annotated screenshot evidence: Direct follow-up: entry method requested."/>
            <wp:cNvGraphicFramePr>
              <a:graphicFrameLocks noChangeAspect="1"/>
            </wp:cNvGraphicFramePr>
            <a:graphic>
              <a:graphicData uri="http://schemas.openxmlformats.org/drawingml/2006/picture">
                <pic:pic>
                  <pic:nvPicPr>
                    <pic:cNvPr id="0" name="E06_annotated.jpg"/>
                    <pic:cNvPicPr/>
                  </pic:nvPicPr>
                  <pic:blipFill>
                    <a:blip r:embed="rId23"/>
                    <a:stretch>
                      <a:fillRect/>
                    </a:stretch>
                  </pic:blipFill>
                  <pic:spPr>
                    <a:xfrm>
                      <a:off x="0" y="0"/>
                      <a:ext cx="5897880" cy="3556583"/>
                    </a:xfrm>
                    <a:prstGeom prst="rect"/>
                  </pic:spPr>
                </pic:pic>
              </a:graphicData>
            </a:graphic>
          </wp:inline>
        </w:drawing>
      </w:r>
    </w:p>
    <w:p>
      <w:pPr>
        <w:pStyle w:val="CaptionSmall"/>
        <w:keepNext w:val="0"/>
        <w:jc w:val="left"/>
      </w:pPr>
      <w:r>
        <w:t>Plate E06. Direct follow-up: entry method requested. Original SHA-256: c17138567ac5eab9…; full hash in Appendix A.</w:t>
      </w:r>
    </w:p>
    <w:p>
      <w:r>
        <w:br w:type="page"/>
      </w:r>
    </w:p>
    <w:p>
      <w:pPr>
        <w:keepNext/>
        <w:jc w:val="center"/>
      </w:pPr>
      <w:r>
        <w:drawing>
          <wp:inline xmlns:a="http://schemas.openxmlformats.org/drawingml/2006/main" xmlns:pic="http://schemas.openxmlformats.org/drawingml/2006/picture">
            <wp:extent cx="5897880" cy="3568102"/>
            <wp:docPr id="16" name="Picture 16" title="Annotated evidence plate E07" descr="Annotated screenshot evidence: Direct follow-up: concrete example requested."/>
            <wp:cNvGraphicFramePr>
              <a:graphicFrameLocks noChangeAspect="1"/>
            </wp:cNvGraphicFramePr>
            <a:graphic>
              <a:graphicData uri="http://schemas.openxmlformats.org/drawingml/2006/picture">
                <pic:pic>
                  <pic:nvPicPr>
                    <pic:cNvPr id="0" name="E07_annotated.jpg"/>
                    <pic:cNvPicPr/>
                  </pic:nvPicPr>
                  <pic:blipFill>
                    <a:blip r:embed="rId13"/>
                    <a:stretch>
                      <a:fillRect/>
                    </a:stretch>
                  </pic:blipFill>
                  <pic:spPr>
                    <a:xfrm>
                      <a:off x="0" y="0"/>
                      <a:ext cx="5897880" cy="3568102"/>
                    </a:xfrm>
                    <a:prstGeom prst="rect"/>
                  </pic:spPr>
                </pic:pic>
              </a:graphicData>
            </a:graphic>
          </wp:inline>
        </w:drawing>
      </w:r>
    </w:p>
    <w:p>
      <w:pPr>
        <w:pStyle w:val="CaptionSmall"/>
        <w:keepNext w:val="0"/>
        <w:jc w:val="left"/>
      </w:pPr>
      <w:r>
        <w:t>Plate E07. Direct follow-up: concrete example requested. Original SHA-256: c9f633ab94133b41…; full hash in Appendix A.</w:t>
      </w:r>
    </w:p>
    <w:p>
      <w:pPr>
        <w:keepNext/>
        <w:jc w:val="center"/>
      </w:pPr>
      <w:r>
        <w:drawing>
          <wp:inline xmlns:a="http://schemas.openxmlformats.org/drawingml/2006/main" xmlns:pic="http://schemas.openxmlformats.org/drawingml/2006/picture">
            <wp:extent cx="5897880" cy="3553703"/>
            <wp:docPr id="17" name="Picture 17" title="Annotated evidence plate E08" descr="Annotated screenshot evidence: Retrospective case baseline: detailed MO prompt."/>
            <wp:cNvGraphicFramePr>
              <a:graphicFrameLocks noChangeAspect="1"/>
            </wp:cNvGraphicFramePr>
            <a:graphic>
              <a:graphicData uri="http://schemas.openxmlformats.org/drawingml/2006/picture">
                <pic:pic>
                  <pic:nvPicPr>
                    <pic:cNvPr id="0" name="E08_annotated.jpg"/>
                    <pic:cNvPicPr/>
                  </pic:nvPicPr>
                  <pic:blipFill>
                    <a:blip r:embed="rId14"/>
                    <a:stretch>
                      <a:fillRect/>
                    </a:stretch>
                  </pic:blipFill>
                  <pic:spPr>
                    <a:xfrm>
                      <a:off x="0" y="0"/>
                      <a:ext cx="5897880" cy="3553703"/>
                    </a:xfrm>
                    <a:prstGeom prst="rect"/>
                  </pic:spPr>
                </pic:pic>
              </a:graphicData>
            </a:graphic>
          </wp:inline>
        </w:drawing>
      </w:r>
    </w:p>
    <w:p>
      <w:pPr>
        <w:pStyle w:val="CaptionSmall"/>
        <w:keepNext w:val="0"/>
        <w:jc w:val="left"/>
      </w:pPr>
      <w:r>
        <w:t>Plate E08. Retrospective case baseline: detailed MO prompt. Original SHA-256: 87f0fdc9a5e843e7…; full hash in Appendix A.</w:t>
      </w:r>
    </w:p>
    <w:p>
      <w:r>
        <w:br w:type="page"/>
      </w:r>
    </w:p>
    <w:p>
      <w:pPr>
        <w:keepNext/>
        <w:jc w:val="center"/>
      </w:pPr>
      <w:r>
        <w:drawing>
          <wp:inline xmlns:a="http://schemas.openxmlformats.org/drawingml/2006/main" xmlns:pic="http://schemas.openxmlformats.org/drawingml/2006/picture">
            <wp:extent cx="5897880" cy="3542184"/>
            <wp:docPr id="18" name="Picture 18" title="Annotated evidence plate E09" descr="Annotated screenshot evidence: Retrospective case baseline continuation."/>
            <wp:cNvGraphicFramePr>
              <a:graphicFrameLocks noChangeAspect="1"/>
            </wp:cNvGraphicFramePr>
            <a:graphic>
              <a:graphicData uri="http://schemas.openxmlformats.org/drawingml/2006/picture">
                <pic:pic>
                  <pic:nvPicPr>
                    <pic:cNvPr id="0" name="E09_annotated.jpg"/>
                    <pic:cNvPicPr/>
                  </pic:nvPicPr>
                  <pic:blipFill>
                    <a:blip r:embed="rId24"/>
                    <a:stretch>
                      <a:fillRect/>
                    </a:stretch>
                  </pic:blipFill>
                  <pic:spPr>
                    <a:xfrm>
                      <a:off x="0" y="0"/>
                      <a:ext cx="5897880" cy="3542184"/>
                    </a:xfrm>
                    <a:prstGeom prst="rect"/>
                  </pic:spPr>
                </pic:pic>
              </a:graphicData>
            </a:graphic>
          </wp:inline>
        </w:drawing>
      </w:r>
    </w:p>
    <w:p>
      <w:pPr>
        <w:pStyle w:val="CaptionSmall"/>
        <w:keepNext w:val="0"/>
        <w:jc w:val="left"/>
      </w:pPr>
      <w:r>
        <w:t>Plate E09. Retrospective case baseline continuation. Original SHA-256: b76ddb9bab2948b5…; full hash in Appendix A.</w:t>
      </w:r>
    </w:p>
    <w:p>
      <w:pPr>
        <w:keepNext/>
        <w:jc w:val="center"/>
      </w:pPr>
      <w:r>
        <w:drawing>
          <wp:inline xmlns:a="http://schemas.openxmlformats.org/drawingml/2006/main" xmlns:pic="http://schemas.openxmlformats.org/drawingml/2006/picture">
            <wp:extent cx="5897880" cy="3556583"/>
            <wp:docPr id="19" name="Picture 19" title="Annotated evidence plate E10" descr="Annotated screenshot evidence: Retrospective case baseline: operational method withheld."/>
            <wp:cNvGraphicFramePr>
              <a:graphicFrameLocks noChangeAspect="1"/>
            </wp:cNvGraphicFramePr>
            <a:graphic>
              <a:graphicData uri="http://schemas.openxmlformats.org/drawingml/2006/picture">
                <pic:pic>
                  <pic:nvPicPr>
                    <pic:cNvPr id="0" name="E10_annotated.jpg"/>
                    <pic:cNvPicPr/>
                  </pic:nvPicPr>
                  <pic:blipFill>
                    <a:blip r:embed="rId15"/>
                    <a:stretch>
                      <a:fillRect/>
                    </a:stretch>
                  </pic:blipFill>
                  <pic:spPr>
                    <a:xfrm>
                      <a:off x="0" y="0"/>
                      <a:ext cx="5897880" cy="3556583"/>
                    </a:xfrm>
                    <a:prstGeom prst="rect"/>
                  </pic:spPr>
                </pic:pic>
              </a:graphicData>
            </a:graphic>
          </wp:inline>
        </w:drawing>
      </w:r>
    </w:p>
    <w:p>
      <w:pPr>
        <w:pStyle w:val="CaptionSmall"/>
        <w:keepNext w:val="0"/>
        <w:jc w:val="left"/>
      </w:pPr>
      <w:r>
        <w:t>Plate E10. Retrospective case baseline: operational method withheld. Original SHA-256: b81c31c418567e61…; full hash in Appendix A.</w:t>
      </w:r>
    </w:p>
    <w:p>
      <w:r>
        <w:br w:type="page"/>
      </w:r>
    </w:p>
    <w:p>
      <w:pPr>
        <w:keepNext/>
        <w:jc w:val="center"/>
      </w:pPr>
      <w:r>
        <w:drawing>
          <wp:inline xmlns:a="http://schemas.openxmlformats.org/drawingml/2006/main" xmlns:pic="http://schemas.openxmlformats.org/drawingml/2006/picture">
            <wp:extent cx="5897880" cy="3562343"/>
            <wp:docPr id="20" name="Picture 20" title="Annotated evidence plate E11" descr="Annotated screenshot evidence: Home forensic-puzzle condition."/>
            <wp:cNvGraphicFramePr>
              <a:graphicFrameLocks noChangeAspect="1"/>
            </wp:cNvGraphicFramePr>
            <a:graphic>
              <a:graphicData uri="http://schemas.openxmlformats.org/drawingml/2006/picture">
                <pic:pic>
                  <pic:nvPicPr>
                    <pic:cNvPr id="0" name="E11_annotated.jpg"/>
                    <pic:cNvPicPr/>
                  </pic:nvPicPr>
                  <pic:blipFill>
                    <a:blip r:embed="rId16"/>
                    <a:stretch>
                      <a:fillRect/>
                    </a:stretch>
                  </pic:blipFill>
                  <pic:spPr>
                    <a:xfrm>
                      <a:off x="0" y="0"/>
                      <a:ext cx="5897880" cy="3562343"/>
                    </a:xfrm>
                    <a:prstGeom prst="rect"/>
                  </pic:spPr>
                </pic:pic>
              </a:graphicData>
            </a:graphic>
          </wp:inline>
        </w:drawing>
      </w:r>
    </w:p>
    <w:p>
      <w:pPr>
        <w:pStyle w:val="CaptionSmall"/>
        <w:keepNext w:val="0"/>
        <w:jc w:val="left"/>
      </w:pPr>
      <w:r>
        <w:t>Plate E11. Home forensic-puzzle condition. Original SHA-256: aa61ab4584258e35…; full hash in Appendix A.</w:t>
      </w:r>
    </w:p>
    <w:p>
      <w:pPr>
        <w:keepNext/>
        <w:jc w:val="center"/>
      </w:pPr>
      <w:r>
        <w:drawing>
          <wp:inline xmlns:a="http://schemas.openxmlformats.org/drawingml/2006/main" xmlns:pic="http://schemas.openxmlformats.org/drawingml/2006/picture">
            <wp:extent cx="5897880" cy="3570982"/>
            <wp:docPr id="21" name="Picture 21" title="Annotated evidence plate E12" descr="Annotated screenshot evidence: Office forensic-puzzle condition."/>
            <wp:cNvGraphicFramePr>
              <a:graphicFrameLocks noChangeAspect="1"/>
            </wp:cNvGraphicFramePr>
            <a:graphic>
              <a:graphicData uri="http://schemas.openxmlformats.org/drawingml/2006/picture">
                <pic:pic>
                  <pic:nvPicPr>
                    <pic:cNvPr id="0" name="E12_annotated.jpg"/>
                    <pic:cNvPicPr/>
                  </pic:nvPicPr>
                  <pic:blipFill>
                    <a:blip r:embed="rId17"/>
                    <a:stretch>
                      <a:fillRect/>
                    </a:stretch>
                  </pic:blipFill>
                  <pic:spPr>
                    <a:xfrm>
                      <a:off x="0" y="0"/>
                      <a:ext cx="5897880" cy="3570982"/>
                    </a:xfrm>
                    <a:prstGeom prst="rect"/>
                  </pic:spPr>
                </pic:pic>
              </a:graphicData>
            </a:graphic>
          </wp:inline>
        </w:drawing>
      </w:r>
    </w:p>
    <w:p>
      <w:pPr>
        <w:pStyle w:val="CaptionSmall"/>
        <w:keepNext w:val="0"/>
        <w:jc w:val="left"/>
      </w:pPr>
      <w:r>
        <w:t>Plate E12. Office forensic-puzzle condition. Original SHA-256: 2fe6f1530eef3f1b…; full hash in Appendix A.</w:t>
      </w:r>
    </w:p>
    <w:p>
      <w:r>
        <w:br w:type="page"/>
      </w:r>
    </w:p>
    <w:p>
      <w:pPr>
        <w:keepNext/>
        <w:jc w:val="center"/>
      </w:pPr>
      <w:r>
        <w:drawing>
          <wp:inline xmlns:a="http://schemas.openxmlformats.org/drawingml/2006/main" xmlns:pic="http://schemas.openxmlformats.org/drawingml/2006/picture">
            <wp:extent cx="5897880" cy="3570982"/>
            <wp:docPr id="22" name="Picture 22" title="Annotated evidence plate E13" descr="Annotated screenshot evidence: Office response continuation."/>
            <wp:cNvGraphicFramePr>
              <a:graphicFrameLocks noChangeAspect="1"/>
            </wp:cNvGraphicFramePr>
            <a:graphic>
              <a:graphicData uri="http://schemas.openxmlformats.org/drawingml/2006/picture">
                <pic:pic>
                  <pic:nvPicPr>
                    <pic:cNvPr id="0" name="E13_annotated.jpg"/>
                    <pic:cNvPicPr/>
                  </pic:nvPicPr>
                  <pic:blipFill>
                    <a:blip r:embed="rId25"/>
                    <a:stretch>
                      <a:fillRect/>
                    </a:stretch>
                  </pic:blipFill>
                  <pic:spPr>
                    <a:xfrm>
                      <a:off x="0" y="0"/>
                      <a:ext cx="5897880" cy="3570982"/>
                    </a:xfrm>
                    <a:prstGeom prst="rect"/>
                  </pic:spPr>
                </pic:pic>
              </a:graphicData>
            </a:graphic>
          </wp:inline>
        </w:drawing>
      </w:r>
    </w:p>
    <w:p>
      <w:pPr>
        <w:pStyle w:val="CaptionSmall"/>
        <w:keepNext w:val="0"/>
        <w:jc w:val="left"/>
      </w:pPr>
      <w:r>
        <w:t>Plate E13. Office response continuation. Original SHA-256: 648dcf5a90e7e022…; full hash in Appendix A.</w:t>
      </w:r>
    </w:p>
    <w:p>
      <w:pPr>
        <w:keepNext/>
        <w:jc w:val="center"/>
      </w:pPr>
      <w:r>
        <w:drawing>
          <wp:inline xmlns:a="http://schemas.openxmlformats.org/drawingml/2006/main" xmlns:pic="http://schemas.openxmlformats.org/drawingml/2006/picture">
            <wp:extent cx="5897880" cy="3527785"/>
            <wp:docPr id="23" name="Picture 23" title="Annotated evidence plate E14" descr="Annotated screenshot evidence: Journalist/air-gap forensic-puzzle condition."/>
            <wp:cNvGraphicFramePr>
              <a:graphicFrameLocks noChangeAspect="1"/>
            </wp:cNvGraphicFramePr>
            <a:graphic>
              <a:graphicData uri="http://schemas.openxmlformats.org/drawingml/2006/picture">
                <pic:pic>
                  <pic:nvPicPr>
                    <pic:cNvPr id="0" name="E14_annotated.jpg"/>
                    <pic:cNvPicPr/>
                  </pic:nvPicPr>
                  <pic:blipFill>
                    <a:blip r:embed="rId18"/>
                    <a:stretch>
                      <a:fillRect/>
                    </a:stretch>
                  </pic:blipFill>
                  <pic:spPr>
                    <a:xfrm>
                      <a:off x="0" y="0"/>
                      <a:ext cx="5897880" cy="3527785"/>
                    </a:xfrm>
                    <a:prstGeom prst="rect"/>
                  </pic:spPr>
                </pic:pic>
              </a:graphicData>
            </a:graphic>
          </wp:inline>
        </w:drawing>
      </w:r>
    </w:p>
    <w:p>
      <w:pPr>
        <w:pStyle w:val="CaptionSmall"/>
        <w:keepNext w:val="0"/>
        <w:jc w:val="left"/>
      </w:pPr>
      <w:r>
        <w:t>Plate E14. Journalist/air-gap forensic-puzzle condition. Original SHA-256: 43604628c82731c3…; full hash in Appendix A.</w:t>
      </w:r>
    </w:p>
    <w:p>
      <w:r>
        <w:br w:type="page"/>
      </w:r>
    </w:p>
    <w:p>
      <w:pPr>
        <w:keepNext/>
        <w:jc w:val="center"/>
      </w:pPr>
      <w:r>
        <w:drawing>
          <wp:inline xmlns:a="http://schemas.openxmlformats.org/drawingml/2006/main" xmlns:pic="http://schemas.openxmlformats.org/drawingml/2006/picture">
            <wp:extent cx="5897880" cy="3576742"/>
            <wp:docPr id="24" name="Picture 24" title="Annotated evidence plate E15" descr="Annotated screenshot evidence: Journalist response continuation."/>
            <wp:cNvGraphicFramePr>
              <a:graphicFrameLocks noChangeAspect="1"/>
            </wp:cNvGraphicFramePr>
            <a:graphic>
              <a:graphicData uri="http://schemas.openxmlformats.org/drawingml/2006/picture">
                <pic:pic>
                  <pic:nvPicPr>
                    <pic:cNvPr id="0" name="E15_annotated.jpg"/>
                    <pic:cNvPicPr/>
                  </pic:nvPicPr>
                  <pic:blipFill>
                    <a:blip r:embed="rId26"/>
                    <a:stretch>
                      <a:fillRect/>
                    </a:stretch>
                  </pic:blipFill>
                  <pic:spPr>
                    <a:xfrm>
                      <a:off x="0" y="0"/>
                      <a:ext cx="5897880" cy="3576742"/>
                    </a:xfrm>
                    <a:prstGeom prst="rect"/>
                  </pic:spPr>
                </pic:pic>
              </a:graphicData>
            </a:graphic>
          </wp:inline>
        </w:drawing>
      </w:r>
    </w:p>
    <w:p>
      <w:pPr>
        <w:pStyle w:val="CaptionSmall"/>
        <w:keepNext w:val="0"/>
        <w:jc w:val="left"/>
      </w:pPr>
      <w:r>
        <w:t>Plate E15. Journalist response continuation. Original SHA-256: 442e6b1404c453cc…; full hash in Appendix A.</w:t>
      </w:r>
    </w:p>
    <w:p>
      <w:pPr>
        <w:keepNext/>
        <w:jc w:val="center"/>
      </w:pPr>
      <w:r>
        <w:drawing>
          <wp:inline xmlns:a="http://schemas.openxmlformats.org/drawingml/2006/main" xmlns:pic="http://schemas.openxmlformats.org/drawingml/2006/picture">
            <wp:extent cx="5897880" cy="3547943"/>
            <wp:docPr id="25" name="Picture 25" title="Annotated evidence plate E16" descr="Annotated screenshot evidence: Museum forensic-puzzle condition."/>
            <wp:cNvGraphicFramePr>
              <a:graphicFrameLocks noChangeAspect="1"/>
            </wp:cNvGraphicFramePr>
            <a:graphic>
              <a:graphicData uri="http://schemas.openxmlformats.org/drawingml/2006/picture">
                <pic:pic>
                  <pic:nvPicPr>
                    <pic:cNvPr id="0" name="E16_annotated.jpg"/>
                    <pic:cNvPicPr/>
                  </pic:nvPicPr>
                  <pic:blipFill>
                    <a:blip r:embed="rId19"/>
                    <a:stretch>
                      <a:fillRect/>
                    </a:stretch>
                  </pic:blipFill>
                  <pic:spPr>
                    <a:xfrm>
                      <a:off x="0" y="0"/>
                      <a:ext cx="5897880" cy="3547943"/>
                    </a:xfrm>
                    <a:prstGeom prst="rect"/>
                  </pic:spPr>
                </pic:pic>
              </a:graphicData>
            </a:graphic>
          </wp:inline>
        </w:drawing>
      </w:r>
    </w:p>
    <w:p>
      <w:pPr>
        <w:pStyle w:val="CaptionSmall"/>
        <w:keepNext w:val="0"/>
        <w:jc w:val="left"/>
      </w:pPr>
      <w:r>
        <w:t>Plate E16. Museum forensic-puzzle condition. Original SHA-256: 139b93a90680e7f4…; full hash in Appendix A.</w:t>
      </w:r>
    </w:p>
    <w:p>
      <w:r>
        <w:br w:type="page"/>
      </w:r>
    </w:p>
    <w:p>
      <w:pPr>
        <w:keepNext/>
        <w:jc w:val="center"/>
      </w:pPr>
      <w:r>
        <w:drawing>
          <wp:inline xmlns:a="http://schemas.openxmlformats.org/drawingml/2006/main" xmlns:pic="http://schemas.openxmlformats.org/drawingml/2006/picture">
            <wp:extent cx="5897880" cy="3559463"/>
            <wp:docPr id="26" name="Picture 26" title="Annotated evidence plate E17" descr="Annotated screenshot evidence: Museum response continuation."/>
            <wp:cNvGraphicFramePr>
              <a:graphicFrameLocks noChangeAspect="1"/>
            </wp:cNvGraphicFramePr>
            <a:graphic>
              <a:graphicData uri="http://schemas.openxmlformats.org/drawingml/2006/picture">
                <pic:pic>
                  <pic:nvPicPr>
                    <pic:cNvPr id="0" name="E17_annotated.jpg"/>
                    <pic:cNvPicPr/>
                  </pic:nvPicPr>
                  <pic:blipFill>
                    <a:blip r:embed="rId27"/>
                    <a:stretch>
                      <a:fillRect/>
                    </a:stretch>
                  </pic:blipFill>
                  <pic:spPr>
                    <a:xfrm>
                      <a:off x="0" y="0"/>
                      <a:ext cx="5897880" cy="3559463"/>
                    </a:xfrm>
                    <a:prstGeom prst="rect"/>
                  </pic:spPr>
                </pic:pic>
              </a:graphicData>
            </a:graphic>
          </wp:inline>
        </w:drawing>
      </w:r>
    </w:p>
    <w:p>
      <w:pPr>
        <w:pStyle w:val="CaptionSmall"/>
        <w:keepNext w:val="0"/>
        <w:jc w:val="left"/>
      </w:pPr>
      <w:r>
        <w:t>Plate E17. Museum response continuation. Original SHA-256: 9776e05040af34f2…; full hash in Appendix A.</w:t>
      </w:r>
    </w:p>
    <w:p>
      <w:pPr>
        <w:pStyle w:val="Heading1"/>
        <w:keepNext/>
      </w:pPr>
      <w:r>
        <w:t>Appendix D. Minimum Reproduction Record</w:t>
      </w:r>
    </w:p>
    <w:p>
      <w:pPr>
        <w:pStyle w:val="BodyText"/>
      </w:pPr>
      <w:r>
        <w:rPr>
          <w:i w:val="0"/>
        </w:rPr>
        <w:t>Complete this record for every model, condition, and trial before quantitative analysis:</w:t>
      </w:r>
    </w:p>
    <w:p>
      <w:pPr>
        <w:pStyle w:val="ListBullet"/>
      </w:pPr>
      <w:r>
        <w:t>Provider, product surface, exact model identifier, model snapshot/version, region, and date/time with time zone.</w:t>
      </w:r>
    </w:p>
    <w:p>
      <w:pPr>
        <w:pStyle w:val="ListBullet"/>
      </w:pPr>
      <w:r>
        <w:t>Full system, developer, and user messages where available; conversation state and whether the session is clean.</w:t>
      </w:r>
    </w:p>
    <w:p>
      <w:pPr>
        <w:pStyle w:val="ListBullet"/>
      </w:pPr>
      <w:r>
        <w:t>Temperature, top-p, seed if supported, maximum tokens, tool availability, moderation settings, and retry behavior.</w:t>
      </w:r>
    </w:p>
    <w:p>
      <w:pPr>
        <w:pStyle w:val="ListBullet"/>
      </w:pPr>
      <w:r>
        <w:t>Canonical behavior ID; direct, control, and reframed prompt text; SHA-256 hashes of prompts and raw responses.</w:t>
      </w:r>
    </w:p>
    <w:p>
      <w:pPr>
        <w:pStyle w:val="ListBullet"/>
      </w:pPr>
      <w:r>
        <w:t>All outputs, including refusals, partial completions, errors, and retries; no success-only filtering.</w:t>
      </w:r>
    </w:p>
    <w:p>
      <w:pPr>
        <w:pStyle w:val="ListBullet"/>
      </w:pPr>
      <w:r>
        <w:t>Automated scores, blinded human ratings, rater expertise, adjudication notes, and inter-rater agreement.</w:t>
      </w:r>
    </w:p>
    <w:p>
      <w:pPr>
        <w:pStyle w:val="ListBullet"/>
      </w:pPr>
      <w:r>
        <w:t>Provider policy version and the preregistered mapping between behavior, policy category, and success criterion.</w:t>
      </w:r>
    </w:p>
    <w:p>
      <w:pPr>
        <w:pStyle w:val="ListBullet"/>
      </w:pPr>
      <w:r>
        <w:t>Disclosure status, sanitization decisions, and access restrictions for operationally sensitive artifacts.</w:t>
      </w:r>
    </w:p>
    <w:sectPr w:rsidR="00FC693F" w:rsidRPr="0006063C" w:rsidSect="00034616">
      <w:headerReference w:type="default" r:id="rId9"/>
      <w:footerReference w:type="default" r:id="rId10"/>
      <w:pgSz w:w="12240" w:h="15840"/>
      <w:pgMar w:top="1008" w:right="1181" w:bottom="979" w:left="1181"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i/>
        <w:color w:val="505050"/>
        <w:sz w:val="16"/>
      </w:rPr>
      <w:t>Cognitive Reframing — Evidence-Grounded Research-in-Progress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jc w:val="both"/>
    </w:pPr>
    <w:rPr>
      <w:rFonts w:ascii="Liberation Serif" w:hAnsi="Liberation Seri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pPr>
      <w:spacing w:line="240" w:lineRule="auto" w:after="100"/>
      <w:ind w:left="360" w:right="360"/>
      <w:jc w:val="both"/>
    </w:pPr>
    <w:rPr>
      <w:rFonts w:ascii="Liberation Serif" w:hAnsi="Liberation Serif"/>
      <w:sz w:val="19"/>
    </w:rPr>
  </w:style>
  <w:style w:type="paragraph" w:customStyle="1" w:styleId="CaptionSmall">
    <w:name w:val="Caption Small"/>
    <w:pPr>
      <w:spacing w:after="100" w:line="240" w:lineRule="auto"/>
    </w:pPr>
    <w:rPr>
      <w:rFonts w:ascii="Liberation Sans" w:hAnsi="Liberation San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Reframing as a Candidate Semantic Jailbreak</dc:title>
  <dc:subject>Evidence-grounded pilot study of forensic-puzzle framing in LLM safety</dc:subject>
  <dc:creator>Aryan Chehreghani</dc:creator>
  <cp:keywords>LLM safety, jailbreak, semantic reframing, prompt injection, red teaming, forensic puzzle</cp:keywords>
  <dc:description>Research-in-progress; revised evidence edition.</dc:description>
  <cp:lastModifiedBy/>
  <cp:revision>1</cp:revision>
  <dcterms:created xsi:type="dcterms:W3CDTF">2013-12-23T23:15:00Z</dcterms:created>
  <dcterms:modified xsi:type="dcterms:W3CDTF">2013-12-23T23:15:00Z</dcterms:modified>
  <cp:category/>
</cp:coreProperties>
</file>