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F3B30"/>
          <w:sz w:val="44"/>
        </w:rPr>
        <w:t>RoadSOS: End-to-End System Walkthrough</w:t>
      </w:r>
    </w:p>
    <w:p>
      <w:pPr>
        <w:spacing w:after="400"/>
      </w:pPr>
    </w:p>
    <w:p>
      <w:r>
        <w:rPr>
          <w:rFonts w:ascii="Arial" w:hAnsi="Arial"/>
          <w:b/>
          <w:sz w:val="32"/>
        </w:rPr>
        <w:t>Phase 1: End-to-End Execution Flow</w:t>
      </w:r>
    </w:p>
    <w:p>
      <w:r>
        <w:rPr>
          <w:rFonts w:ascii="Arial" w:hAnsi="Arial"/>
          <w:sz w:val="22"/>
        </w:rPr>
        <w:t>The RoadSOS ecosystem operates on a highly resilient, event-driven, offline-first workflow designed to optimize emergency dispatch speeds during the critical Golden Hour: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•  1. Dynamic Crash Detection: </w:t>
      </w:r>
      <w:r>
        <w:rPr>
          <w:rFonts w:ascii="Arial" w:hAnsi="Arial"/>
          <w:sz w:val="22"/>
        </w:rPr>
        <w:t>Edge AI TensorFlow Lite model running inside Flutter background service analyzes high-frequency 50Hz MEMS accelerometer and gyroscope data to detect high-impact deceleration events.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•  2. Multi-Channel Signal Broadcast: </w:t>
      </w:r>
      <w:r>
        <w:rPr>
          <w:rFonts w:ascii="Arial" w:hAnsi="Arial"/>
          <w:sz w:val="22"/>
        </w:rPr>
        <w:t>Upon crash validation, the system instantly broadcasts the distress signal over high-speed WebSockets (WSS). If cellular data coverage is unavailable, it falls back to parsing AT commands (AT+CMGR) via standard SMS GSM gateways.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•  3. Concurrency-Safe Lock Acquisition: </w:t>
      </w:r>
      <w:r>
        <w:rPr>
          <w:rFonts w:ascii="Arial" w:hAnsi="Arial"/>
          <w:sz w:val="22"/>
        </w:rPr>
        <w:t>FastAPI leverages a Redis SETNX distributed lock when a hospital clicks 'Accept Trauma Case', preventing duplicate facility claims on the same accident scene.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•  4. ABDM FHIR Data Enrichment: </w:t>
      </w:r>
      <w:r>
        <w:rPr>
          <w:rFonts w:ascii="Arial" w:hAnsi="Arial"/>
          <w:sz w:val="22"/>
        </w:rPr>
        <w:t>Lock acquisition triggers the ABDM Sandbox registry to retrieve the patient's ABHA FHIR clinical profile (blood groups, allergies) to prep the ER.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•  5. Real-Time Tracking &amp; Push: </w:t>
      </w:r>
      <w:r>
        <w:rPr>
          <w:rFonts w:ascii="Arial" w:hAnsi="Arial"/>
          <w:sz w:val="22"/>
        </w:rPr>
        <w:t>The system updates all open stakeholder dashboards (Police, Ambulance, and User) with precise ETAs via active WebSocket connections.</w:t>
      </w:r>
    </w:p>
    <w:p>
      <w:pPr>
        <w:spacing w:after="400"/>
      </w:pPr>
    </w:p>
    <w:p>
      <w:r>
        <w:rPr>
          <w:rFonts w:ascii="Arial" w:hAnsi="Arial"/>
          <w:b/>
          <w:sz w:val="32"/>
        </w:rPr>
        <w:t>Phase 2: Visual Telemetry Assets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rende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1: Live vector map detailing the active 10km Overpass QL bounding box query and critical crash location.</w:t>
      </w:r>
    </w:p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pital_acce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2: Hospital Stakeholder view displaying a successful SETNX lock acquisition and ABDM ABHA FHIR patient profile collection.</w:t>
      </w:r>
    </w:p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inb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3: User HUD displaying a live WebSockets sync confirmation with active 'Help Inbound' telemetry dispatch status.</w:t>
      </w:r>
    </w:p>
    <w:p>
      <w:pPr>
        <w:spacing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