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پیشنهاد پژوهشی: پیش‌بینی توان مصرفی دیتاسنتر هوش مصنوعی</w:t>
      </w:r>
    </w:p>
    <w:p>
      <w:pPr>
        <w:bidi/>
      </w:pPr>
      <w:r>
        <w:rPr>
          <w:b/>
          <w:rtl/>
        </w:rPr>
        <w:t xml:space="preserve">ارزیابی مدل‌های کلاسیک، پایه و کوانتومی-کلاسیک هیبریدی همراه با کمّی‌سازی عدم قطعیت و کنترل آگاه از شبکه</w:t>
      </w:r>
    </w:p>
    <w:p>
      <w:pPr>
        <w:bidi/>
      </w:pPr>
      <w:r>
        <w:rPr>
          <w:rtl/>
        </w:rPr>
        <w:t xml:space="preserve">نسخه‌ی فارسی همان پیشنهاد انگلیسی (تب English) · ۹ مهر ۱۴۰۵ (۱ اکتبر ۲۰۲۶)</w:t>
      </w:r>
    </w:p>
    <w:p>
      <w:pPr>
        <w:pStyle w:val="Heading2"/>
        <w:bidi/>
      </w:pPr>
      <w:r>
        <w:rPr>
          <w:rtl/>
        </w:rPr>
        <w:t xml:space="preserve">۱. انگیزه</w:t>
      </w:r>
    </w:p>
    <w:p>
      <w:pPr>
        <w:bidi/>
      </w:pPr>
      <w:r>
        <w:rPr>
          <w:rtl/>
        </w:rPr>
        <w:t xml:space="preserve">آژانس بین‌المللی انرژی (IEA) پیش‌بینی می‌کند مصرف برق دیتاسنترهای جهان از حدود ۴۱۵ تراوات‌ساعت در ۲۰۲۴ به حدود ۹۴۵ تراوات‌ساعت در ۲۰۳۰ برسد؛ سرورهای شتاب‌دهنده (عمدتاً هوش مصنوعی) سالانه حدود ۳۰٪ رشد می‌کنند.</w:t>
      </w:r>
    </w:p>
    <w:p>
      <w:pPr>
        <w:bidi/>
      </w:pPr>
      <w:r>
        <w:rPr>
          <w:rtl/>
        </w:rPr>
        <w:t xml:space="preserve">توان این دیتاسنترها سریع هم تغییر می‌کند. آموزش هم‌زمان روی ده‌ها هزار GPU بین فاز محاسبه‌ی پرمصرف و فاز ارتباط کم‌مصرف جابه‌جا می‌شود و نوسان‌های بزرگ می‌سازد، و NERC رخدادهای قطع بار ۱۰۰ تا ۱۵۰۰ مگاواتی را ثبت کرده است. پس بهره‌بردارها به پیش‌بینی کوتاه‌مدتی نیاز دارند که در لحظه‌های جهش هم دقیق باشد و عدم قطعیت کالیبره‌شده داشته باشد. مطالعات سمت شبکه نشان می‌دهند باتری برای مقیاس دقیقه تا ساعت مناسب است؛ همان‌جا پیش‌بینی خوب به تصمیم مهندسی تبدیل می‌شود.</w:t>
      </w:r>
    </w:p>
    <w:p>
      <w:pPr>
        <w:pStyle w:val="Heading2"/>
        <w:bidi/>
      </w:pPr>
      <w:r>
        <w:rPr>
          <w:rtl/>
        </w:rPr>
        <w:t xml:space="preserve">۲. سؤال‌های پژوهشی</w:t>
      </w:r>
    </w:p>
    <w:p>
      <w:pPr>
        <w:bidi/>
      </w:pPr>
      <w:r>
        <w:rPr>
          <w:rtl/>
        </w:rPr>
        <w:t xml:space="preserve">پروژه طوری ساخته شده که نتیجه‌ی مدل کوانتومی هرچه باشد، موفق است.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bidi/>
            </w:pPr>
            <w:r>
              <w:rPr>
                <w:rtl/>
              </w:rPr>
              <w:t xml:space="preserve">سؤال</w:t>
            </w:r>
          </w:p>
        </w:tc>
        <w:tc>
          <w:tcPr>
            <w:tcW w:w="3120" w:type="dxa"/>
            <w:shd w:val="clear" w:color="auto" w:fill="F2F2F2"/>
          </w:tcPr>
          <w:p>
            <w:pPr>
              <w:bidi/>
            </w:pPr>
            <w:r>
              <w:rPr>
                <w:rtl/>
              </w:rPr>
              <w:t xml:space="preserve">ستون پروژه</w:t>
            </w:r>
          </w:p>
        </w:tc>
      </w:tr>
      <w:tr>
        <w:tc>
          <w:tcPr>
            <w:tcW w:w="3120" w:type="dxa"/>
          </w:tcPr>
          <w:p>
            <w:pPr/>
            <w:r>
              <w:t xml:space="preserve">RQ1</w:t>
            </w:r>
          </w:p>
        </w:tc>
        <w:tc>
          <w:tcPr>
            <w:tcW w:w="3120" w:type="dxa"/>
          </w:tcPr>
          <w:p>
            <w:pPr>
              <w:bidi/>
            </w:pPr>
            <w:r>
              <w:rPr>
                <w:rtl/>
              </w:rPr>
              <w:t xml:space="preserve">مدل‌های آماری، یادگیری ماشین، یادگیری عمیق و مدل‌های پایه‌ی سری زمانی چقدر خوب توان GPU دیتاسنتر را پیش‌بینی می‌کنند، به‌ویژه در لحظه‌های جهش بار؟</w:t>
            </w:r>
          </w:p>
        </w:tc>
        <w:tc>
          <w:tcPr>
            <w:tcW w:w="3120" w:type="dxa"/>
          </w:tcPr>
          <w:p>
            <w:pPr>
              <w:bidi/>
            </w:pPr>
            <w:r>
              <w:rPr>
                <w:rtl/>
              </w:rPr>
              <w:t xml:space="preserve">بنچمارک کلاسیک</w:t>
            </w:r>
          </w:p>
        </w:tc>
      </w:tr>
      <w:tr>
        <w:tc>
          <w:tcPr>
            <w:tcW w:w="3120" w:type="dxa"/>
          </w:tcPr>
          <w:p>
            <w:pPr/>
            <w:r>
              <w:t xml:space="preserve">RQ2</w:t>
            </w:r>
          </w:p>
        </w:tc>
        <w:tc>
          <w:tcPr>
            <w:tcW w:w="3120" w:type="dxa"/>
          </w:tcPr>
          <w:p>
            <w:pPr>
              <w:bidi/>
            </w:pPr>
            <w:r>
              <w:rPr>
                <w:rtl/>
              </w:rPr>
              <w:t xml:space="preserve">آیا مدل‌های کوانتومی-کلاسیک هیبریدی با پارامتر یا داده‌ی کمتر به دقت رقابتی می‌رسند؟</w:t>
            </w:r>
          </w:p>
        </w:tc>
        <w:tc>
          <w:tcPr>
            <w:tcW w:w="3120" w:type="dxa"/>
          </w:tcPr>
          <w:p>
            <w:pPr>
              <w:bidi/>
            </w:pPr>
            <w:r>
              <w:rPr>
                <w:rtl/>
              </w:rPr>
              <w:t xml:space="preserve">ارزیابی منصفانه‌ی کوانتومی</w:t>
            </w:r>
          </w:p>
        </w:tc>
      </w:tr>
      <w:tr>
        <w:tc>
          <w:tcPr>
            <w:tcW w:w="3120" w:type="dxa"/>
          </w:tcPr>
          <w:p>
            <w:pPr/>
            <w:r>
              <w:t xml:space="preserve">RQ3</w:t>
            </w:r>
          </w:p>
        </w:tc>
        <w:tc>
          <w:tcPr>
            <w:tcW w:w="3120" w:type="dxa"/>
          </w:tcPr>
          <w:p>
            <w:pPr>
              <w:bidi/>
            </w:pPr>
            <w:r>
              <w:rPr>
                <w:rtl/>
              </w:rPr>
              <w:t xml:space="preserve">آیا می‌توان برای پیش‌بینی‌ها بازه‌ی اطمینان کالیبره‌شده ارائه داد، حتی در بازه‌های جهش؟</w:t>
            </w:r>
          </w:p>
        </w:tc>
        <w:tc>
          <w:tcPr>
            <w:tcW w:w="3120" w:type="dxa"/>
          </w:tcPr>
          <w:p>
            <w:pPr>
              <w:bidi/>
            </w:pPr>
            <w:r>
              <w:rPr>
                <w:rtl/>
              </w:rPr>
              <w:t xml:space="preserve">عدم قطعیت</w:t>
            </w:r>
          </w:p>
        </w:tc>
      </w:tr>
      <w:tr>
        <w:tc>
          <w:tcPr>
            <w:tcW w:w="3120" w:type="dxa"/>
          </w:tcPr>
          <w:p>
            <w:pPr/>
            <w:r>
              <w:t xml:space="preserve">RQ4</w:t>
            </w:r>
          </w:p>
        </w:tc>
        <w:tc>
          <w:tcPr>
            <w:tcW w:w="3120" w:type="dxa"/>
          </w:tcPr>
          <w:p>
            <w:pPr>
              <w:bidi/>
            </w:pPr>
            <w:r>
              <w:rPr>
                <w:rtl/>
              </w:rPr>
              <w:t xml:space="preserve">یک باتری با کنترل پیش‌بین (MPC) با پیش‌بینی بهتر چقدر نرخ تغییر توان تحویلی به شبکه را کم می‌کند؟</w:t>
            </w:r>
          </w:p>
        </w:tc>
        <w:tc>
          <w:tcPr>
            <w:tcW w:w="3120" w:type="dxa"/>
          </w:tcPr>
          <w:p>
            <w:pPr>
              <w:bidi/>
            </w:pPr>
            <w:r>
              <w:rPr>
                <w:rtl/>
              </w:rPr>
              <w:t xml:space="preserve">کنترل آگاه از شبکه</w:t>
            </w:r>
          </w:p>
        </w:tc>
      </w:tr>
    </w:tbl>
    <w:p>
      <w:pPr>
        <w:pStyle w:val="Heading2"/>
        <w:bidi/>
      </w:pPr>
      <w:r>
        <w:rPr>
          <w:rtl/>
        </w:rPr>
        <w:t xml:space="preserve">۳. داده</w:t>
      </w:r>
    </w:p>
    <w:p>
      <w:pPr>
        <w:bidi/>
      </w:pPr>
      <w:r>
        <w:rPr>
          <w:rtl/>
        </w:rPr>
        <w:t xml:space="preserve">داده‌ی اصلی ردهای GPU در MIT Supercloud است (فوریه تا اکتبر ۲۰۲۱، ۴۴۸ GPU از نوع V100، اوج توان تجمیعی حدود ۴۵ کیلووات) که روی همه‌ی کارها جمع و به گام یک دقیقه تبدیل می‌شود. نتیجه حدود ۳۳۰ هزار گام (حدود ۲۳۸ روز) است، با متغیرهای کمکی مثل میزان استفاده، دما و مصرف حافظه، و تعداد کارهای فعال و در صف از لاگ Slurm.</w:t>
      </w:r>
    </w:p>
    <w:p>
      <w:pPr>
        <w:bidi/>
      </w:pPr>
      <w:r>
        <w:rPr>
          <w:rtl/>
        </w:rPr>
        <w:t xml:space="preserve">داده‌ی PM100 (ابررایانه‌ی Marconi100، توان سطح نود با گام ۲۰ ثانیه) پشتیبان و دیتاست دوم برای سنجش تعمیم رتبه‌ی مدل‌هاست.</w:t>
      </w:r>
    </w:p>
    <w:p>
      <w:pPr>
        <w:bidi/>
      </w:pPr>
      <w:r>
        <w:rPr>
          <w:rtl/>
        </w:rPr>
        <w:t xml:space="preserve">دو محدودیت از ابتدا ذکر می‌شود. سری ما توان GPUِ منتسب به کارهاست، نه توان کل تأسیسات؛ پس GPUهای بیکار، CPU، شبکه و سرمایش حذف شده‌اند. خوشه در مقیاس دانشگاهی است، نه یک دیتاسنتر مگاواتی. مجوز داده CC BY-NC-ND 4.0 است، پس فقط اسکریپت‌ها منتشر می‌شوند، نه داده‌ی پردازش‌شده.</w:t>
      </w:r>
    </w:p>
    <w:p>
      <w:pPr>
        <w:pStyle w:val="Heading2"/>
        <w:bidi/>
      </w:pPr>
      <w:r>
        <w:rPr>
          <w:rtl/>
        </w:rPr>
        <w:t xml:space="preserve">۴. روش‌ها</w:t>
      </w:r>
    </w:p>
    <w:p>
      <w:pPr>
        <w:bidi/>
      </w:pPr>
      <w:r>
        <w:rPr>
          <w:rtl/>
        </w:rPr>
        <w:t xml:space="preserve">هر مدل از یک ماژول ارزیابی مشترک عبور می‌کند و هر آزمایش فایل پیکربندی خودش را دارد.</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ستون</w:t>
            </w:r>
          </w:p>
        </w:tc>
        <w:tc>
          <w:tcPr>
            <w:tcW w:w="4680" w:type="dxa"/>
            <w:shd w:val="clear" w:color="auto" w:fill="F2F2F2"/>
          </w:tcPr>
          <w:p>
            <w:pPr>
              <w:bidi/>
            </w:pPr>
            <w:r>
              <w:rPr>
                <w:rtl/>
              </w:rPr>
              <w:t xml:space="preserve">مدل‌ها و روش‌ها</w:t>
            </w:r>
          </w:p>
        </w:tc>
      </w:tr>
      <w:tr>
        <w:tc>
          <w:tcPr>
            <w:tcW w:w="4680" w:type="dxa"/>
          </w:tcPr>
          <w:p>
            <w:pPr>
              <w:bidi/>
            </w:pPr>
            <w:r>
              <w:rPr>
                <w:rtl/>
              </w:rPr>
              <w:t xml:space="preserve">مدل‌های مرجع (RQ1)</w:t>
            </w:r>
          </w:p>
        </w:tc>
        <w:tc>
          <w:tcPr>
            <w:tcW w:w="4680" w:type="dxa"/>
          </w:tcPr>
          <w:p>
            <w:pPr/>
            <w:r>
              <w:t xml:space="preserve">Naive و Seasonal Naive؛ AutoETS و AutoARIMA؛ LightGBM؛ LSTM و GRU؛ DLinear و NLinear؛ PatchTST و N-HiTS</w:t>
            </w:r>
          </w:p>
        </w:tc>
      </w:tr>
      <w:tr>
        <w:tc>
          <w:tcPr>
            <w:tcW w:w="4680" w:type="dxa"/>
          </w:tcPr>
          <w:p>
            <w:pPr>
              <w:bidi/>
            </w:pPr>
            <w:r>
              <w:rPr>
                <w:rtl/>
              </w:rPr>
              <w:t xml:space="preserve">مدل‌های پایه (RQ1)</w:t>
            </w:r>
          </w:p>
        </w:tc>
        <w:tc>
          <w:tcPr>
            <w:tcW w:w="4680" w:type="dxa"/>
          </w:tcPr>
          <w:p>
            <w:pPr/>
            <w:r>
              <w:t xml:space="preserve">Chronos، TimesFM و Toto به‌صورت zero-shot، به‌عنوان نتیجه‌ی ثانویه و با هشدار نشت داده</w:t>
            </w:r>
          </w:p>
        </w:tc>
      </w:tr>
      <w:tr>
        <w:tc>
          <w:tcPr>
            <w:tcW w:w="4680" w:type="dxa"/>
          </w:tcPr>
          <w:p>
            <w:pPr>
              <w:bidi/>
            </w:pPr>
            <w:r>
              <w:rPr>
                <w:rtl/>
              </w:rPr>
              <w:t xml:space="preserve">کوانتومی هیبریدی (RQ2)</w:t>
            </w:r>
          </w:p>
        </w:tc>
        <w:tc>
          <w:tcPr>
            <w:tcW w:w="4680" w:type="dxa"/>
          </w:tcPr>
          <w:p>
            <w:pPr/>
            <w:r>
              <w:t xml:space="preserve">QCNN هیبریدی (encoder خطی، مدار ۴ تا ۸ کیوبیتی، decoder خطی) و Quantum Reservoir Computing روی شبیه‌ساز PennyLane</w:t>
            </w:r>
          </w:p>
        </w:tc>
      </w:tr>
      <w:tr>
        <w:tc>
          <w:tcPr>
            <w:tcW w:w="4680" w:type="dxa"/>
          </w:tcPr>
          <w:p>
            <w:pPr>
              <w:bidi/>
            </w:pPr>
            <w:r>
              <w:rPr>
                <w:rtl/>
              </w:rPr>
              <w:t xml:space="preserve">کنترل‌های کوانتومی (RQ2)</w:t>
            </w:r>
          </w:p>
        </w:tc>
        <w:tc>
          <w:tcPr>
            <w:tcW w:w="4680" w:type="dxa"/>
          </w:tcPr>
          <w:p>
            <w:pPr>
              <w:bidi/>
            </w:pPr>
            <w:r>
              <w:rPr>
                <w:rtl/>
              </w:rPr>
              <w:t xml:space="preserve">مدل کلاسیک هم‌معماری با جایگزینی مدار با یک لایه‌ی کلاسیک کوچک؛ ablation درهم‌تنیدگی؛ Elastic Net و reservoir تصادفی کلاسیک برای QRC</w:t>
            </w:r>
          </w:p>
        </w:tc>
      </w:tr>
      <w:tr>
        <w:tc>
          <w:tcPr>
            <w:tcW w:w="4680" w:type="dxa"/>
          </w:tcPr>
          <w:p>
            <w:pPr>
              <w:bidi/>
            </w:pPr>
            <w:r>
              <w:rPr>
                <w:rtl/>
              </w:rPr>
              <w:t xml:space="preserve">عدم قطعیت (RQ3)</w:t>
            </w:r>
          </w:p>
        </w:tc>
        <w:tc>
          <w:tcPr>
            <w:tcW w:w="4680" w:type="dxa"/>
          </w:tcPr>
          <w:p>
            <w:pPr/>
            <w:r>
              <w:t xml:space="preserve">split conformal ایستا، split conformal با calibration لغزان، و adaptive conformal inference (ACI)</w:t>
            </w:r>
          </w:p>
        </w:tc>
      </w:tr>
      <w:tr>
        <w:tc>
          <w:tcPr>
            <w:tcW w:w="4680" w:type="dxa"/>
          </w:tcPr>
          <w:p>
            <w:pPr>
              <w:bidi/>
            </w:pPr>
            <w:r>
              <w:rPr>
                <w:rtl/>
              </w:rPr>
              <w:t xml:space="preserve">کنترل (RQ4)</w:t>
            </w:r>
          </w:p>
        </w:tc>
        <w:tc>
          <w:tcPr>
            <w:tcW w:w="4680" w:type="dxa"/>
          </w:tcPr>
          <w:p>
            <w:pPr>
              <w:bidi/>
            </w:pPr>
            <w:r>
              <w:rPr>
                <w:rtl/>
              </w:rPr>
              <w:t xml:space="preserve">مدل باتری با MPC در cvxpy و افق ۱۵ دقیقه؛ سناریوها: oracle، بهترین مدل، Naive و بدون پیش‌بینی</w:t>
            </w:r>
          </w:p>
        </w:tc>
      </w:tr>
    </w:tbl>
    <w:p>
      <w:pPr>
        <w:bidi/>
      </w:pPr>
      <w:r>
        <w:rPr>
          <w:rtl/>
        </w:rPr>
        <w:t xml:space="preserve">آزمایش‌های کوانتومی کسر داده‌ی آموزش (۱٪، ۵٪، ۲۰٪، ۱۰۰٪)، تعداد کیوبیت (۲، ۴، ۶، ۸) و سطح نویز را تغییر می‌دهند و هر نوع کوانتومی که امتحان شود ثبت می‌شود.</w:t>
      </w:r>
    </w:p>
    <w:p>
      <w:pPr>
        <w:pStyle w:val="Heading2"/>
        <w:bidi/>
      </w:pPr>
      <w:r>
        <w:rPr>
          <w:rtl/>
        </w:rPr>
        <w:t xml:space="preserve">۵. پروتکل ارزیابی</w:t>
      </w:r>
    </w:p>
    <w:p>
      <w:pPr>
        <w:bidi/>
      </w:pPr>
      <w:r>
        <w:rPr>
          <w:rtl/>
        </w:rPr>
        <w:t xml:space="preserve">این تصمیم‌ها پیش از اجرای هر مدل ثابت می‌شوند و فقط با ثبت دلیل در صورت‌جلسه تغییر می‌کنند.</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مورد</w:t>
            </w:r>
          </w:p>
        </w:tc>
        <w:tc>
          <w:tcPr>
            <w:tcW w:w="4680" w:type="dxa"/>
            <w:shd w:val="clear" w:color="auto" w:fill="F2F2F2"/>
          </w:tcPr>
          <w:p>
            <w:pPr>
              <w:bidi/>
            </w:pPr>
            <w:r>
              <w:rPr>
                <w:rtl/>
              </w:rPr>
              <w:t xml:space="preserve">مقدار</w:t>
            </w:r>
          </w:p>
        </w:tc>
      </w:tr>
      <w:tr>
        <w:tc>
          <w:tcPr>
            <w:tcW w:w="4680" w:type="dxa"/>
          </w:tcPr>
          <w:p>
            <w:pPr>
              <w:bidi/>
            </w:pPr>
            <w:r>
              <w:rPr>
                <w:rtl/>
              </w:rPr>
              <w:t xml:space="preserve">دقت زمانی</w:t>
            </w:r>
          </w:p>
        </w:tc>
        <w:tc>
          <w:tcPr>
            <w:tcW w:w="4680" w:type="dxa"/>
          </w:tcPr>
          <w:p>
            <w:pPr>
              <w:bidi/>
            </w:pPr>
            <w:r>
              <w:rPr>
                <w:rtl/>
              </w:rPr>
              <w:t xml:space="preserve">یک دقیقه (ده ثانیه به‌عنوان آزمایش تکمیلی)</w:t>
            </w:r>
          </w:p>
        </w:tc>
      </w:tr>
      <w:tr>
        <w:tc>
          <w:tcPr>
            <w:tcW w:w="4680" w:type="dxa"/>
          </w:tcPr>
          <w:p>
            <w:pPr>
              <w:bidi/>
            </w:pPr>
            <w:r>
              <w:rPr>
                <w:rtl/>
              </w:rPr>
              <w:t xml:space="preserve">پنجره‌ی ورودی</w:t>
            </w:r>
          </w:p>
        </w:tc>
        <w:tc>
          <w:tcPr>
            <w:tcW w:w="4680" w:type="dxa"/>
          </w:tcPr>
          <w:p>
            <w:pPr>
              <w:bidi/>
            </w:pPr>
            <w:r>
              <w:rPr>
                <w:rtl/>
              </w:rPr>
              <w:t xml:space="preserve">۶۰ گام (۶۰ دقیقه)، با پنجره‌ی بلندتر به‌عنوان آزمایش جانبی</w:t>
            </w:r>
          </w:p>
        </w:tc>
      </w:tr>
      <w:tr>
        <w:tc>
          <w:tcPr>
            <w:tcW w:w="4680" w:type="dxa"/>
          </w:tcPr>
          <w:p>
            <w:pPr>
              <w:bidi/>
            </w:pPr>
            <w:r>
              <w:rPr>
                <w:rtl/>
              </w:rPr>
              <w:t xml:space="preserve">افق‌ها</w:t>
            </w:r>
          </w:p>
        </w:tc>
        <w:tc>
          <w:tcPr>
            <w:tcW w:w="4680" w:type="dxa"/>
          </w:tcPr>
          <w:p>
            <w:pPr>
              <w:bidi/>
            </w:pPr>
            <w:r>
              <w:rPr>
                <w:rtl/>
              </w:rPr>
              <w:t xml:space="preserve">۱، ۵ و ۱۵ دقیقه</w:t>
            </w:r>
          </w:p>
        </w:tc>
      </w:tr>
      <w:tr>
        <w:tc>
          <w:tcPr>
            <w:tcW w:w="4680" w:type="dxa"/>
          </w:tcPr>
          <w:p>
            <w:pPr>
              <w:bidi/>
            </w:pPr>
            <w:r>
              <w:rPr>
                <w:rtl/>
              </w:rPr>
              <w:t xml:space="preserve">تقسیم داده</w:t>
            </w:r>
          </w:p>
        </w:tc>
        <w:tc>
          <w:tcPr>
            <w:tcW w:w="4680" w:type="dxa"/>
          </w:tcPr>
          <w:p>
            <w:pPr>
              <w:bidi/>
            </w:pPr>
            <w:r>
              <w:rPr>
                <w:rtl/>
              </w:rPr>
              <w:t xml:space="preserve">زمانی ۷۰/۱۵/۱۵ بدون shuffle؛ نرمال‌سازی Min-Max فقط روی داده‌ی آموزش</w:t>
            </w:r>
          </w:p>
        </w:tc>
      </w:tr>
      <w:tr>
        <w:tc>
          <w:tcPr>
            <w:tcW w:w="4680" w:type="dxa"/>
          </w:tcPr>
          <w:p>
            <w:pPr>
              <w:bidi/>
            </w:pPr>
            <w:r>
              <w:rPr>
                <w:rtl/>
              </w:rPr>
              <w:t xml:space="preserve">تعریف جهش</w:t>
            </w:r>
          </w:p>
        </w:tc>
        <w:tc>
          <w:tcPr>
            <w:tcW w:w="4680" w:type="dxa"/>
          </w:tcPr>
          <w:p>
            <w:pPr>
              <w:bidi/>
            </w:pPr>
            <w:r>
              <w:rPr>
                <w:rtl/>
              </w:rPr>
              <w:t xml:space="preserve">گام‌هایی که قدرمطلق تغییر توان در آن‌ها بالاتر از صدک ۹۵ داده‌ی آموزش است</w:t>
            </w:r>
          </w:p>
        </w:tc>
      </w:tr>
      <w:tr>
        <w:tc>
          <w:tcPr>
            <w:tcW w:w="4680" w:type="dxa"/>
          </w:tcPr>
          <w:p>
            <w:pPr>
              <w:bidi/>
            </w:pPr>
            <w:r>
              <w:rPr>
                <w:rtl/>
              </w:rPr>
              <w:t xml:space="preserve">معیارها</w:t>
            </w:r>
          </w:p>
        </w:tc>
        <w:tc>
          <w:tcPr>
            <w:tcW w:w="4680" w:type="dxa"/>
          </w:tcPr>
          <w:p>
            <w:pPr/>
            <w:r>
              <w:t xml:space="preserve">MAE، RMSE، sMAPE و R²؛ MAE در بازه‌های جهش؛ خطای نرخ تغییر</w:t>
            </w:r>
          </w:p>
        </w:tc>
      </w:tr>
      <w:tr>
        <w:tc>
          <w:tcPr>
            <w:tcW w:w="4680" w:type="dxa"/>
          </w:tcPr>
          <w:p>
            <w:pPr>
              <w:bidi/>
            </w:pPr>
            <w:r>
              <w:rPr>
                <w:rtl/>
              </w:rPr>
              <w:t xml:space="preserve">تکرار</w:t>
            </w:r>
          </w:p>
        </w:tc>
        <w:tc>
          <w:tcPr>
            <w:tcW w:w="4680" w:type="dxa"/>
          </w:tcPr>
          <w:p>
            <w:pPr>
              <w:bidi/>
            </w:pPr>
            <w:r>
              <w:rPr>
                <w:rtl/>
              </w:rPr>
              <w:t xml:space="preserve">حداقل ۳ seed؛ گزارش میانگین و انحراف معیار</w:t>
            </w:r>
          </w:p>
        </w:tc>
      </w:tr>
      <w:tr>
        <w:tc>
          <w:tcPr>
            <w:tcW w:w="4680" w:type="dxa"/>
          </w:tcPr>
          <w:p>
            <w:pPr>
              <w:bidi/>
            </w:pPr>
            <w:r>
              <w:rPr>
                <w:rtl/>
              </w:rPr>
              <w:t xml:space="preserve">قواعد انصاف</w:t>
            </w:r>
          </w:p>
        </w:tc>
        <w:tc>
          <w:tcPr>
            <w:tcW w:w="4680" w:type="dxa"/>
          </w:tcPr>
          <w:p>
            <w:pPr>
              <w:bidi/>
            </w:pPr>
            <w:r>
              <w:rPr>
                <w:rtl/>
              </w:rPr>
              <w:t xml:space="preserve">بودجه‌ی tuning برابر برای همه‌ی مدل‌ها؛ ثبت همه‌ی نوع‌های کوانتومی؛ آزمون Diebold–Mariano بین بهترین مدل‌ها</w:t>
            </w:r>
          </w:p>
        </w:tc>
      </w:tr>
      <w:tr>
        <w:tc>
          <w:tcPr>
            <w:tcW w:w="4680" w:type="dxa"/>
          </w:tcPr>
          <w:p>
            <w:pPr>
              <w:bidi/>
            </w:pPr>
            <w:r>
              <w:rPr>
                <w:rtl/>
              </w:rPr>
              <w:t xml:space="preserve">معیارهای عدم قطعیت</w:t>
            </w:r>
          </w:p>
        </w:tc>
        <w:tc>
          <w:tcPr>
            <w:tcW w:w="4680" w:type="dxa"/>
          </w:tcPr>
          <w:p>
            <w:pPr>
              <w:bidi/>
            </w:pPr>
            <w:r>
              <w:rPr>
                <w:rtl/>
              </w:rPr>
              <w:t xml:space="preserve">پوشش هدف ۹۰٪؛ پوشش واقعی و لغزان، عرض بازه، جدا برای گام‌های عادی و جهش</w:t>
            </w:r>
          </w:p>
        </w:tc>
      </w:tr>
    </w:tbl>
    <w:p>
      <w:pPr>
        <w:pStyle w:val="Heading2"/>
        <w:bidi/>
      </w:pPr>
      <w:r>
        <w:rPr>
          <w:rtl/>
        </w:rPr>
        <w:t xml:space="preserve">۶. جایگاه پروژه در کارهای پیشین</w:t>
      </w:r>
    </w:p>
    <w:p>
      <w:pPr>
        <w:bidi/>
      </w:pPr>
      <w:r>
        <w:rPr>
          <w:rtl/>
        </w:rPr>
        <w:t xml:space="preserve">دو مقاله توان GPU را روی همین داده‌ی MIT Supercloud پیش‌بینی کرده‌اند. گروه آلبرتا (</w:t>
      </w:r>
      <w:hyperlink r:id="rId3" w:history="1">
        <w:r>
          <w:rPr>
            <w:rStyle w:val="Hyperlink"/>
            <w:rtl/>
          </w:rPr>
          <w:t xml:space="preserve">arXiv 2503.07756</w:t>
        </w:r>
      </w:hyperlink>
      <w:r>
        <w:rPr>
          <w:rtl/>
        </w:rPr>
        <w:t xml:space="preserve">) مدل‌های LSTM، GRU و 1D-CNN را با گام ۱ ثانیه گزارش می‌کند و PI-DLinear (</w:t>
      </w:r>
      <w:hyperlink r:id="rId4" w:history="1">
        <w:r>
          <w:rPr>
            <w:rStyle w:val="Hyperlink"/>
            <w:rtl/>
          </w:rPr>
          <w:t xml:space="preserve">arXiv 2605.04074</w:t>
        </w:r>
      </w:hyperlink>
      <w:r>
        <w:rPr>
          <w:rtl/>
        </w:rPr>
        <w:t xml:space="preserve">) با گام ۱ دقیقه جمله‌های فیزیکی به loss مدل DLinear اضافه می‌کند. در بخش‌هایی که خواندیم، هیچ‌کدام baseline ساده (naive)، معیار مخصوص جهش، مدل پایه، مدل کوانتومی، عدم قطعیت کالیبره‌شده یا کاربرد کنترلی ندارند.</w:t>
      </w:r>
    </w:p>
    <w:p>
      <w:pPr>
        <w:bidi/>
      </w:pPr>
      <w:r>
        <w:rPr>
          <w:rtl/>
        </w:rPr>
        <w:t xml:space="preserve">در سمت کوانتومی، کاری که یادگیری ماشین کوانتومی را برای پیش‌بینی توان دیتاسنتر به کار برده باشد پیدا نکردیم. چون benchmarkهای بزرگ نشان می‌دهند مدل‌های کلاسیک آماده معمولاً برنده‌اند (</w:t>
      </w:r>
      <w:hyperlink r:id="rId5" w:history="1">
        <w:r>
          <w:rPr>
            <w:rStyle w:val="Hyperlink"/>
            <w:rtl/>
          </w:rPr>
          <w:t xml:space="preserve">Bowles و همکاران، arXiv 2403.07059</w:t>
        </w:r>
      </w:hyperlink>
      <w:r>
        <w:rPr>
          <w:rtl/>
        </w:rPr>
        <w:t xml:space="preserve">) و بسیاری از مدارهای بدون barren plateau به نظر قابل شبیه‌سازی کلاسیک‌اند (</w:t>
      </w:r>
      <w:hyperlink r:id="rId6" w:history="1">
        <w:r>
          <w:rPr>
            <w:rStyle w:val="Hyperlink"/>
            <w:rtl/>
          </w:rPr>
          <w:t xml:space="preserve">Cerezo و همکاران، Nature Communications 2025</w:t>
        </w:r>
      </w:hyperlink>
      <w:r>
        <w:rPr>
          <w:rtl/>
        </w:rPr>
        <w:t xml:space="preserve">)، RQ2 را به‌صورت یک benchmark منصفانه تعریف می‌کنیم، نه جست‌وجوی برتری کوانتومی.</w:t>
      </w:r>
    </w:p>
    <w:p>
      <w:pPr>
        <w:pStyle w:val="Heading2"/>
        <w:bidi/>
      </w:pPr>
      <w:r>
        <w:rPr>
          <w:rtl/>
        </w:rPr>
        <w:t xml:space="preserve">۷. زمان‌بندی</w:t>
      </w:r>
    </w:p>
    <w:p>
      <w:pPr>
        <w:bidi/>
      </w:pPr>
      <w:r>
        <w:rPr>
          <w:rtl/>
        </w:rPr>
        <w:t xml:space="preserve">پروژه در هشت هفته و در چهار اسپرینت دوهفته‌ای انجام می‌شود. هر اسپرینت با یک جلسه‌ی استاد تمام می‌شود.</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اسپرینت</w:t>
            </w:r>
          </w:p>
        </w:tc>
        <w:tc>
          <w:tcPr>
            <w:tcW w:w="2340" w:type="dxa"/>
            <w:shd w:val="clear" w:color="auto" w:fill="F2F2F2"/>
          </w:tcPr>
          <w:p>
            <w:pPr>
              <w:bidi/>
            </w:pPr>
            <w:r>
              <w:rPr>
                <w:rtl/>
              </w:rPr>
              <w:t xml:space="preserve">هفته‌ها</w:t>
            </w:r>
          </w:p>
        </w:tc>
        <w:tc>
          <w:tcPr>
            <w:tcW w:w="2340" w:type="dxa"/>
            <w:shd w:val="clear" w:color="auto" w:fill="F2F2F2"/>
          </w:tcPr>
          <w:p>
            <w:pPr>
              <w:bidi/>
            </w:pPr>
            <w:r>
              <w:rPr>
                <w:rtl/>
              </w:rPr>
              <w:t xml:space="preserve">محتوا</w:t>
            </w:r>
          </w:p>
        </w:tc>
        <w:tc>
          <w:tcPr>
            <w:tcW w:w="2340" w:type="dxa"/>
            <w:shd w:val="clear" w:color="auto" w:fill="F2F2F2"/>
          </w:tcPr>
          <w:p>
            <w:pPr>
              <w:bidi/>
            </w:pPr>
            <w:r>
              <w:rPr>
                <w:rtl/>
              </w:rPr>
              <w:t xml:space="preserve">جلسه و تصمیم</w:t>
            </w:r>
          </w:p>
        </w:tc>
      </w:tr>
      <w:tr>
        <w:tc>
          <w:tcPr>
            <w:tcW w:w="2340" w:type="dxa"/>
          </w:tcPr>
          <w:p>
            <w:pPr/>
            <w:r>
              <w:t xml:space="preserve">۱</w:t>
            </w:r>
          </w:p>
        </w:tc>
        <w:tc>
          <w:tcPr>
            <w:tcW w:w="2340" w:type="dxa"/>
          </w:tcPr>
          <w:p>
            <w:pPr>
              <w:bidi/>
            </w:pPr>
            <w:r>
              <w:rPr>
                <w:rtl/>
              </w:rPr>
              <w:t xml:space="preserve">۱ و ۲</w:t>
            </w:r>
          </w:p>
        </w:tc>
        <w:tc>
          <w:tcPr>
            <w:tcW w:w="2340" w:type="dxa"/>
          </w:tcPr>
          <w:p>
            <w:pPr>
              <w:bidi/>
            </w:pPr>
            <w:r>
              <w:rPr>
                <w:rtl/>
              </w:rPr>
              <w:t xml:space="preserve">مهندسی داده، تحلیل اکتشافی، پروپوزال و پروتکل</w:t>
            </w:r>
          </w:p>
        </w:tc>
        <w:tc>
          <w:tcPr>
            <w:tcW w:w="2340" w:type="dxa"/>
          </w:tcPr>
          <w:p>
            <w:pPr>
              <w:bidi/>
            </w:pPr>
            <w:r>
              <w:rPr>
                <w:rtl/>
              </w:rPr>
              <w:t xml:space="preserve">جلسه‌ی ۱: تأیید پروپوزال</w:t>
            </w:r>
          </w:p>
        </w:tc>
      </w:tr>
      <w:tr>
        <w:tc>
          <w:tcPr>
            <w:tcW w:w="2340" w:type="dxa"/>
          </w:tcPr>
          <w:p>
            <w:pPr/>
            <w:r>
              <w:t xml:space="preserve">۲</w:t>
            </w:r>
          </w:p>
        </w:tc>
        <w:tc>
          <w:tcPr>
            <w:tcW w:w="2340" w:type="dxa"/>
          </w:tcPr>
          <w:p>
            <w:pPr>
              <w:bidi/>
            </w:pPr>
            <w:r>
              <w:rPr>
                <w:rtl/>
              </w:rPr>
              <w:t xml:space="preserve">۳ و ۴</w:t>
            </w:r>
          </w:p>
        </w:tc>
        <w:tc>
          <w:tcPr>
            <w:tcW w:w="2340" w:type="dxa"/>
          </w:tcPr>
          <w:p>
            <w:pPr>
              <w:bidi/>
            </w:pPr>
            <w:r>
              <w:rPr>
                <w:rtl/>
              </w:rPr>
              <w:t xml:space="preserve">مدل‌های آماری، ML، عمیق و پایه، آزمون Diebold–Mariano</w:t>
            </w:r>
          </w:p>
        </w:tc>
        <w:tc>
          <w:tcPr>
            <w:tcW w:w="2340" w:type="dxa"/>
          </w:tcPr>
          <w:p>
            <w:pPr>
              <w:bidi/>
            </w:pPr>
            <w:r>
              <w:rPr>
                <w:rtl/>
              </w:rPr>
              <w:t xml:space="preserve">جلسه‌ی ۲: قفل‌شدن بنچمارک</w:t>
            </w:r>
          </w:p>
        </w:tc>
      </w:tr>
      <w:tr>
        <w:tc>
          <w:tcPr>
            <w:tcW w:w="2340" w:type="dxa"/>
          </w:tcPr>
          <w:p>
            <w:pPr/>
            <w:r>
              <w:t xml:space="preserve">۳</w:t>
            </w:r>
          </w:p>
        </w:tc>
        <w:tc>
          <w:tcPr>
            <w:tcW w:w="2340" w:type="dxa"/>
          </w:tcPr>
          <w:p>
            <w:pPr>
              <w:bidi/>
            </w:pPr>
            <w:r>
              <w:rPr>
                <w:rtl/>
              </w:rPr>
              <w:t xml:space="preserve">۵ و ۶</w:t>
            </w:r>
          </w:p>
        </w:tc>
        <w:tc>
          <w:tcPr>
            <w:tcW w:w="2340" w:type="dxa"/>
          </w:tcPr>
          <w:p>
            <w:pPr/>
            <w:r>
              <w:t xml:space="preserve">QCNN هیبریدی و QRC با کنترل‌های کلاسیک، ablation و نویز</w:t>
            </w:r>
          </w:p>
        </w:tc>
        <w:tc>
          <w:tcPr>
            <w:tcW w:w="2340" w:type="dxa"/>
          </w:tcPr>
          <w:p>
            <w:pPr>
              <w:bidi/>
            </w:pPr>
            <w:r>
              <w:rPr>
                <w:rtl/>
              </w:rPr>
              <w:t xml:space="preserve">جلسه‌ی ۳: تصمیم مقاله و ونیو</w:t>
            </w:r>
          </w:p>
        </w:tc>
      </w:tr>
      <w:tr>
        <w:tc>
          <w:tcPr>
            <w:tcW w:w="2340" w:type="dxa"/>
          </w:tcPr>
          <w:p>
            <w:pPr/>
            <w:r>
              <w:t xml:space="preserve">۴</w:t>
            </w:r>
          </w:p>
        </w:tc>
        <w:tc>
          <w:tcPr>
            <w:tcW w:w="2340" w:type="dxa"/>
          </w:tcPr>
          <w:p>
            <w:pPr>
              <w:bidi/>
            </w:pPr>
            <w:r>
              <w:rPr>
                <w:rtl/>
              </w:rPr>
              <w:t xml:space="preserve">۷ و ۸</w:t>
            </w:r>
          </w:p>
        </w:tc>
        <w:tc>
          <w:tcPr>
            <w:tcW w:w="2340" w:type="dxa"/>
          </w:tcPr>
          <w:p>
            <w:pPr/>
            <w:r>
              <w:t xml:space="preserve">conformal و ACI، MPC باتری، پیش‌نویس مقاله و پایان‌نامه</w:t>
            </w:r>
          </w:p>
        </w:tc>
        <w:tc>
          <w:tcPr>
            <w:tcW w:w="2340" w:type="dxa"/>
          </w:tcPr>
          <w:p>
            <w:pPr>
              <w:bidi/>
            </w:pPr>
            <w:r>
              <w:rPr>
                <w:rtl/>
              </w:rPr>
              <w:t xml:space="preserve">جلسه‌ی ۴: پیش‌نویس کامل مقاله</w:t>
            </w:r>
          </w:p>
        </w:tc>
      </w:tr>
    </w:tbl>
    <w:p>
      <w:pPr>
        <w:bidi/>
      </w:pPr>
      <w:r>
        <w:rPr>
          <w:rtl/>
        </w:rPr>
        <w:t xml:space="preserve">تاریخ‌های تقویمی بعد از معلوم‌شدن شروع ترم تعیین می‌شوند. موارد تکمیلی فقط وقتی شروع می‌شوند که موارد اصلی همان هفته تمام شده باشد.</w:t>
      </w:r>
    </w:p>
    <w:p>
      <w:pPr>
        <w:pStyle w:val="Heading2"/>
        <w:bidi/>
      </w:pPr>
      <w:r>
        <w:rPr>
          <w:rtl/>
        </w:rPr>
        <w:t xml:space="preserve">۸. خروجی‌های مورد انتظار</w:t>
      </w:r>
    </w:p>
    <w:p>
      <w:pPr>
        <w:pStyle w:val="ListParagraph"/>
        <w:numPr>
          <w:ilvl w:val="0"/>
          <w:numId w:val="2"/>
        </w:numPr>
        <w:bidi/>
      </w:pPr>
      <w:r>
        <w:rPr>
          <w:rtl/>
        </w:rPr>
        <w:t xml:space="preserve">گزارش داده و تحلیل اکتشافی، با pipeline یک‌دستوری از داده‌ی خام تا سری نهایی</w:t>
      </w:r>
    </w:p>
    <w:p>
      <w:pPr>
        <w:pStyle w:val="ListParagraph"/>
        <w:numPr>
          <w:ilvl w:val="0"/>
          <w:numId w:val="2"/>
        </w:numPr>
        <w:bidi/>
      </w:pPr>
      <w:r>
        <w:rPr>
          <w:rtl/>
        </w:rPr>
        <w:t xml:space="preserve">جدول بنچمارک همه‌ی مدل‌های کلاسیک و پایه بر حسب افق و معیار، شامل خطا در بازه‌های جهش</w:t>
      </w:r>
    </w:p>
    <w:p>
      <w:pPr>
        <w:pStyle w:val="ListParagraph"/>
        <w:numPr>
          <w:ilvl w:val="0"/>
          <w:numId w:val="2"/>
        </w:numPr>
        <w:bidi/>
      </w:pPr>
      <w:r>
        <w:rPr>
          <w:rtl/>
        </w:rPr>
        <w:t xml:space="preserve">نتایج کوانتومی: سه نمودار اصلی (دقت بر حسب کسر داده، تعداد پارامتر و تعداد کیوبیت) و جدول ablation</w:t>
      </w:r>
    </w:p>
    <w:p>
      <w:pPr>
        <w:pStyle w:val="ListParagraph"/>
        <w:numPr>
          <w:ilvl w:val="0"/>
          <w:numId w:val="2"/>
        </w:numPr>
        <w:bidi/>
      </w:pPr>
      <w:r>
        <w:rPr>
          <w:rtl/>
        </w:rPr>
        <w:t xml:space="preserve">نتایج بازه‌ی اطمینان conformal و مقایسه‌ی کنترل باتری در چهار سناریوی پیش‌بینی</w:t>
      </w:r>
    </w:p>
    <w:p>
      <w:pPr>
        <w:pStyle w:val="ListParagraph"/>
        <w:numPr>
          <w:ilvl w:val="0"/>
          <w:numId w:val="2"/>
        </w:numPr>
        <w:bidi/>
      </w:pPr>
      <w:r>
        <w:rPr>
          <w:rtl/>
        </w:rPr>
        <w:t xml:space="preserve">پیش‌نویس مقاله‌ی ۶ تا ۸ صفحه‌ای در قالب IEEE، مخزن عمومی GitHub با README کامل و پیش‌نویس فصل‌های پایان‌نامه</w:t>
      </w:r>
    </w:p>
    <w:p>
      <w:pPr>
        <w:bidi/>
      </w:pPr>
      <w:r>
        <w:rPr>
          <w:rtl/>
        </w:rPr>
        <w:t xml:space="preserve">نتیجه‌ی منفی کوانتومی هم اگر مقایسه منصفانه و مستند باشد، قابل انتشار است.</w:t>
      </w:r>
    </w:p>
    <w:p>
      <w:pPr>
        <w:pStyle w:val="Heading2"/>
        <w:bidi/>
      </w:pPr>
      <w:r>
        <w:rPr>
          <w:rtl/>
        </w:rPr>
        <w:t xml:space="preserve">۹. سؤال‌ها برای استاد</w:t>
      </w:r>
    </w:p>
    <w:p>
      <w:pPr>
        <w:pStyle w:val="ListParagraph"/>
        <w:numPr>
          <w:ilvl w:val="0"/>
          <w:numId w:val="3"/>
        </w:numPr>
        <w:bidi/>
      </w:pPr>
      <w:r>
        <w:rPr>
          <w:rtl/>
        </w:rPr>
        <w:t xml:space="preserve">☐ آیا چهار سؤال پژوهشی و دامنه‌ی پروژه تأیید است؟</w:t>
      </w:r>
    </w:p>
    <w:p>
      <w:pPr>
        <w:pStyle w:val="ListParagraph"/>
        <w:numPr>
          <w:ilvl w:val="0"/>
          <w:numId w:val="3"/>
        </w:numPr>
        <w:bidi/>
      </w:pPr>
      <w:r>
        <w:rPr>
          <w:rtl/>
        </w:rPr>
        <w:t xml:space="preserve">☐ آیا دقت زمانی یک دقیقه و افق‌های ۱، ۵ و ۱۵ دقیقه مناسب‌اند؟</w:t>
      </w:r>
    </w:p>
    <w:p>
      <w:pPr>
        <w:pStyle w:val="ListParagraph"/>
        <w:numPr>
          <w:ilvl w:val="0"/>
          <w:numId w:val="3"/>
        </w:numPr>
        <w:bidi/>
      </w:pPr>
      <w:r>
        <w:rPr>
          <w:rtl/>
        </w:rPr>
        <w:t xml:space="preserve">☐ دوره‌ی آزمون ما قبل از زمان قطع پیش‌آموزش همه‌ی مدل‌های پایه است، پس نتایج zero-shot هشدار نشت دارند. آیا گزارش آن‌ها به‌عنوان نتیجه‌ی ثانویه قابل‌قبول است؟</w:t>
      </w:r>
    </w:p>
    <w:p>
      <w:pPr>
        <w:pStyle w:val="ListParagraph"/>
        <w:numPr>
          <w:ilvl w:val="0"/>
          <w:numId w:val="3"/>
        </w:numPr>
        <w:bidi/>
      </w:pPr>
      <w:r>
        <w:rPr>
          <w:rtl/>
        </w:rPr>
        <w:t xml:space="preserve">☐ در افق‌های ۵ و ۱۵ دقیقه برچسب با تأخیر می‌رسد، پس adaptive conformal inference با به‌روزرسانی تأخیری اجرا می‌شود که تضمین منتشرشده‌ی آن پوششش نمی‌دهد. آیا گزارش پوشش تجربی کافی است؟</w:t>
      </w:r>
    </w:p>
    <w:p>
      <w:pPr>
        <w:pStyle w:val="ListParagraph"/>
        <w:numPr>
          <w:ilvl w:val="0"/>
          <w:numId w:val="3"/>
        </w:numPr>
        <w:bidi/>
      </w:pPr>
      <w:r>
        <w:rPr>
          <w:rtl/>
        </w:rPr>
        <w:t xml:space="preserve">☐ مقایسه‌ی کوانتومی چطور قاب‌بندی شود، با توجه به اینکه هم‌اندازه‌کردن پارامتر به‌تنهایی کنترل منصفانه‌ای محسوب نمی‌شود؟</w:t>
      </w:r>
    </w:p>
    <w:p>
      <w:pPr>
        <w:pStyle w:val="ListParagraph"/>
        <w:numPr>
          <w:ilvl w:val="0"/>
          <w:numId w:val="3"/>
        </w:numPr>
        <w:bidi/>
      </w:pPr>
      <w:r>
        <w:rPr>
          <w:rtl/>
        </w:rPr>
        <w:t xml:space="preserve">☐ هم‌نویسنده چه کسی است و ونیو یا ژورنال هدف کدام است؟</w:t>
      </w:r>
    </w:p>
    <w:p>
      <w:pPr>
        <w:pStyle w:val="ListParagraph"/>
        <w:numPr>
          <w:ilvl w:val="0"/>
          <w:numId w:val="3"/>
        </w:numPr>
        <w:bidi/>
      </w:pPr>
      <w:r>
        <w:rPr>
          <w:rtl/>
        </w:rPr>
        <w:t xml:space="preserve">☐ قالب و الزامات پایان‌نامه‌ی دانشگاه چیست؟</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503.07756" TargetMode="External"/><Relationship Id="rId4" Type="http://schemas.openxmlformats.org/officeDocument/2006/relationships/hyperlink" Target="https://arxiv.org/abs/2605.04074" TargetMode="External"/><Relationship Id="rId5" Type="http://schemas.openxmlformats.org/officeDocument/2006/relationships/hyperlink" Target="https://arxiv.org/abs/2403.07059" TargetMode="External"/><Relationship Id="rId6" Type="http://schemas.openxmlformats.org/officeDocument/2006/relationships/hyperlink" Target="https://www.nature.com/articles/s41467-025-63099-6"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پیشنهاد پژوهشی پیش‌بینی توان مصرفی دیتاسنتر هوش مصنوعی</dc:title>
  <dc:description>Claude Docs node/df5361d7-61d0@1 docx-w6</dc:description>
  <cp:revision>1</cp:revision>
</cp:coreProperties>
</file>