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Weekly Report: Week 1</w:t>
      </w:r>
    </w:p>
    <w:p>
      <w:pPr/>
      <w:r>
        <w:t xml:space="preserve">Forecasting AI Data Center Power Demand · 30 Sep to 2 Oct 2026</w:t>
      </w:r>
    </w:p>
    <w:p>
      <w:pPr/>
      <w:r>
        <w:t xml:space="preserve">Oct 1, 2026</w:t>
      </w:r>
      <w:r>
        <w:t xml:space="preserve"> · </w:t>
      </w:r>
      <w:r>
        <w:t xml:space="preserve">@aryan</w:t>
      </w:r>
    </w:p>
    <w:p>
      <w:pPr>
        <w:pStyle w:val="Heading2"/>
      </w:pPr>
      <w:r>
        <w:t xml:space="preserve">1. Work done</w:t>
      </w:r>
    </w:p>
    <w:p>
      <w:pPr/>
      <w:r>
        <w:t xml:space="preserve">Week 1 is complete: setup, data access, quantum warm-up, literature and proposal are all finished.</w:t>
      </w:r>
    </w:p>
    <w:p>
      <w:pPr/>
      <w:r>
        <w:rPr>
          <w:b/>
        </w:rPr>
        <w:t xml:space="preserve">Infrastructure</w:t>
      </w:r>
    </w:p>
    <w:p>
      <w:pPr>
        <w:pStyle w:val="ListParagraph"/>
        <w:numPr>
          <w:ilvl w:val="0"/>
          <w:numId w:val="2"/>
        </w:numPr>
      </w:pPr>
      <w:r>
        <w:t xml:space="preserve">Repository with the standard structure (</w:t>
      </w:r>
      <w:r>
        <w:rPr>
          <w:rStyle w:val="CodeChar"/>
        </w:rPr>
        <w:t xml:space="preserve">configs/</w:t>
      </w:r>
      <w:r>
        <w:t xml:space="preserve">, </w:t>
      </w:r>
      <w:r>
        <w:rPr>
          <w:rStyle w:val="CodeChar"/>
        </w:rPr>
        <w:t xml:space="preserve">data/</w:t>
      </w:r>
      <w:r>
        <w:t xml:space="preserve">, </w:t>
      </w:r>
      <w:r>
        <w:rPr>
          <w:rStyle w:val="CodeChar"/>
        </w:rPr>
        <w:t xml:space="preserve">docs/</w:t>
      </w:r>
      <w:r>
        <w:t xml:space="preserve">, </w:t>
      </w:r>
      <w:r>
        <w:rPr>
          <w:rStyle w:val="CodeChar"/>
        </w:rPr>
        <w:t xml:space="preserve">notebooks/</w:t>
      </w:r>
      <w:r>
        <w:t xml:space="preserve">, </w:t>
      </w:r>
      <w:r>
        <w:rPr>
          <w:rStyle w:val="CodeChar"/>
        </w:rPr>
        <w:t xml:space="preserve">src/</w:t>
      </w:r>
      <w:r>
        <w:t xml:space="preserve">, </w:t>
      </w:r>
      <w:r>
        <w:rPr>
          <w:rStyle w:val="CodeChar"/>
        </w:rPr>
        <w:t xml:space="preserve">experiments/</w:t>
      </w:r>
      <w:r>
        <w:t xml:space="preserve">); data and papers are excluded via </w:t>
      </w:r>
      <w:r>
        <w:rPr>
          <w:rStyle w:val="CodeChar"/>
        </w:rPr>
        <w:t xml:space="preserve">.gitignore</w:t>
      </w:r>
      <w:r>
        <w:t xml:space="preserve">. Commits: [add commit links]</w:t>
      </w:r>
    </w:p>
    <w:p>
      <w:pPr>
        <w:pStyle w:val="ListParagraph"/>
        <w:numPr>
          <w:ilvl w:val="0"/>
          <w:numId w:val="2"/>
        </w:numPr>
      </w:pPr>
      <w:r>
        <w:t xml:space="preserve">Conda environment </w:t>
      </w:r>
      <w:r>
        <w:rPr>
          <w:rStyle w:val="CodeChar"/>
        </w:rPr>
        <w:t xml:space="preserve">dcpower</w:t>
      </w:r>
      <w:r>
        <w:t xml:space="preserve"> (Python 3.11, conda-forge); </w:t>
      </w:r>
      <w:r>
        <w:rPr>
          <w:rStyle w:val="CodeChar"/>
        </w:rPr>
        <w:t xml:space="preserve">requirements.txt</w:t>
      </w:r>
      <w:r>
        <w:t xml:space="preserve"> and </w:t>
      </w:r>
      <w:r>
        <w:rPr>
          <w:rStyle w:val="CodeChar"/>
        </w:rPr>
        <w:t xml:space="preserve">requirements.lock</w:t>
      </w:r>
      <w:r>
        <w:t xml:space="preserve"> (154 packages) committed. Verified: torch 2.14.1, pennylane 0.45.1, polars 1.44.2.</w:t>
      </w:r>
    </w:p>
    <w:p>
      <w:pPr>
        <w:pStyle w:val="ListParagraph"/>
        <w:numPr>
          <w:ilvl w:val="0"/>
          <w:numId w:val="2"/>
        </w:numPr>
      </w:pPr>
      <w:r>
        <w:t xml:space="preserve">Weights &amp; Biases project </w:t>
      </w:r>
      <w:r>
        <w:rPr>
          <w:rStyle w:val="CodeChar"/>
        </w:rPr>
        <w:t xml:space="preserve">datacenter-power-forecasting</w:t>
      </w:r>
      <w:r>
        <w:t xml:space="preserve"> with two logged runs, </w:t>
      </w:r>
      <w:r>
        <w:rPr>
          <w:rStyle w:val="CodeChar"/>
        </w:rPr>
        <w:t xml:space="preserve">setup-test</w:t>
      </w:r>
      <w:r>
        <w:t xml:space="preserve"> and </w:t>
      </w:r>
      <w:r>
        <w:rPr>
          <w:rStyle w:val="CodeChar"/>
        </w:rPr>
        <w:t xml:space="preserve">pennylane-sine-warmup</w:t>
      </w:r>
      <w:r>
        <w:t xml:space="preserve">. [add run links]</w:t>
      </w:r>
    </w:p>
    <w:p>
      <w:pPr>
        <w:pStyle w:val="ListParagraph"/>
        <w:numPr>
          <w:ilvl w:val="0"/>
          <w:numId w:val="2"/>
        </w:numPr>
      </w:pPr>
      <w:r>
        <w:t xml:space="preserve">Data access confirmed: the public S3 bucket was listed without an account, and the exact prefix </w:t>
      </w:r>
      <w:r>
        <w:rPr>
          <w:rStyle w:val="CodeChar"/>
        </w:rPr>
        <w:t xml:space="preserve">s3://mit-supercloud-dataset/datacenter-challenge/202201/</w:t>
      </w:r>
      <w:r>
        <w:t xml:space="preserve"> is recorded in </w:t>
      </w:r>
      <w:r>
        <w:rPr>
          <w:rStyle w:val="CodeChar"/>
        </w:rPr>
        <w:t xml:space="preserve">README.md</w:t>
      </w:r>
      <w:r>
        <w:t xml:space="preserve">.</w:t>
      </w:r>
    </w:p>
    <w:p>
      <w:pPr/>
      <w:r>
        <w:rPr>
          <w:b/>
        </w:rPr>
        <w:t xml:space="preserve">Quantum warm-up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notebooks/01_pennylane_warmup.ipynb</w:t>
      </w:r>
      <w:r>
        <w:t xml:space="preserve">: a 4-qubit circuit (AngleEmbedding + StronglyEntanglingLayers) wrapped as a PyTorch layer and trained inside a hybrid model on a sine regression.</w:t>
      </w:r>
    </w:p>
    <w:p>
      <w:pPr/>
      <w:r>
        <w:rPr>
          <w:b/>
        </w:rPr>
        <w:t xml:space="preserve">Literature</w:t>
      </w:r>
    </w:p>
    <w:p>
      <w:pPr>
        <w:pStyle w:val="ListParagraph"/>
        <w:numPr>
          <w:ilvl w:val="0"/>
          <w:numId w:val="4"/>
        </w:numPr>
      </w:pPr>
      <w:r>
        <w:t xml:space="preserve">26 of 28 papers archived; 2 are pending university access (Colangelo et al., Nature Energy; QMI 2026).</w:t>
      </w:r>
    </w:p>
    <w:p>
      <w:pPr>
        <w:pStyle w:val="ListParagraph"/>
        <w:numPr>
          <w:ilvl w:val="0"/>
          <w:numId w:val="4"/>
        </w:numPr>
      </w:pPr>
      <w:r>
        <w:t xml:space="preserve">Ten structured summaries in </w:t>
      </w:r>
      <w:r>
        <w:rPr>
          <w:rStyle w:val="CodeChar"/>
        </w:rPr>
        <w:t xml:space="preserve">docs/literature.md</w:t>
      </w:r>
      <w:r>
        <w:t xml:space="preserve">: MIT Supercloud, Alberta, grid-impacts review, Bowles et al., Kaseb et al., QRC, PI-DLinear, foundation-model leakage, Cerezo et al., Adaptive Conformal Inference.</w:t>
      </w:r>
    </w:p>
    <w:p>
      <w:pPr/>
      <w:r>
        <w:rPr>
          <w:b/>
        </w:rPr>
        <w:t xml:space="preserve">Proposal</w:t>
      </w:r>
    </w:p>
    <w:p>
      <w:pPr>
        <w:pStyle w:val="ListParagraph"/>
        <w:numPr>
          <w:ilvl w:val="0"/>
          <w:numId w:val="5"/>
        </w:numPr>
      </w:pPr>
      <w:r>
        <w:t xml:space="preserve">Draft written in English and Persian: motivation, four research questions, data, methods, evaluation protocol, related work, timeline, outputs and questions for the supervisor.</w:t>
      </w:r>
    </w:p>
    <w:p>
      <w:pPr>
        <w:pStyle w:val="Heading2"/>
      </w:pPr>
      <w:r>
        <w:t xml:space="preserve">2. Key figure and finding</w:t>
      </w:r>
    </w:p>
    <w:p>
      <w:pPr/>
      <w:r>
        <w:t xml:space="preserve">The warm-up loss fell from 0.629 to about 0.0000 over 100 epochs (37 parameters, seed 42). This only shows the pipeline works; it is not evidence of any quantum advantage.</w:t>
      </w:r>
    </w:p>
    <w:p>
      <w:pPr/>
      <w:r>
        <w:t xml:space="preserve">The main finding from the reading: the closest prior work (PI-DLinear) uses the same data at the same 1-minute resolution, and neither it nor the Alberta paper reports a naive baseline, ramp-specific errors, uncertainty or a control application. These gaps define our contribution.</w:t>
      </w:r>
    </w:p>
    <w:p>
      <w:pPr>
        <w:pStyle w:val="Heading2"/>
      </w:pPr>
      <w:r>
        <w:t xml:space="preserve">3. Blockers and decisions</w:t>
      </w:r>
    </w:p>
    <w:p>
      <w:pPr/>
      <w:r>
        <w:t xml:space="preserve">All three blockers are solved. The planned lineage check is also done.</w:t>
      </w:r>
    </w:p>
    <w:p>
      <w:pPr/>
      <w:r>
        <w:rPr>
          <w:b/>
        </w:rPr>
        <w:t xml:space="preserve">Blockers (solved)</w:t>
      </w:r>
    </w:p>
    <w:p>
      <w:pPr>
        <w:pStyle w:val="ListParagraph"/>
        <w:numPr>
          <w:ilvl w:val="0"/>
          <w:numId w:val="6"/>
        </w:numPr>
      </w:pPr>
      <w:r>
        <w:t xml:space="preserve">The router DNS could not resolve the pip download host; a VPN is required for installs and downloads.</w:t>
      </w:r>
    </w:p>
    <w:p>
      <w:pPr>
        <w:pStyle w:val="ListParagraph"/>
        <w:numPr>
          <w:ilvl w:val="0"/>
          <w:numId w:val="6"/>
        </w:numPr>
      </w:pPr>
      <w:r>
        <w:t xml:space="preserve">The VPN truncates any single HTTP download at 8 MiB; larger files need chunked Range requests or a browser download.</w:t>
      </w:r>
    </w:p>
    <w:p>
      <w:pPr>
        <w:pStyle w:val="ListParagraph"/>
        <w:numPr>
          <w:ilvl w:val="0"/>
          <w:numId w:val="6"/>
        </w:numPr>
      </w:pPr>
      <w:r>
        <w:t xml:space="preserve">The default conda channel failed silently on a terms-of-service prompt; resolved by using conda-forge only.</w:t>
      </w:r>
    </w:p>
    <w:p>
      <w:pPr/>
      <w:r>
        <w:rPr>
          <w:b/>
        </w:rPr>
        <w:t xml:space="preserve">Decisions</w:t>
      </w:r>
    </w:p>
    <w:p>
      <w:pPr>
        <w:pStyle w:val="ListParagraph"/>
        <w:numPr>
          <w:ilvl w:val="0"/>
          <w:numId w:val="7"/>
        </w:numPr>
      </w:pPr>
      <w:r>
        <w:t xml:space="preserve">Zero-shot foundation models (Chronos, TimesFM, Toto) are reported as secondary results with a data-leakage caveat, because our test period precedes every model's pre-training cutoff.</w:t>
      </w:r>
    </w:p>
    <w:p>
      <w:pPr>
        <w:pStyle w:val="ListParagraph"/>
        <w:numPr>
          <w:ilvl w:val="0"/>
          <w:numId w:val="7"/>
        </w:numPr>
      </w:pPr>
      <w:r>
        <w:t xml:space="preserve">Conformal prediction: report static split, rolling-window split and ACI. For 5 and 15-minute horizons ACI uses delayed updates that its published guarantee does not cover.</w:t>
      </w:r>
    </w:p>
    <w:p>
      <w:pPr>
        <w:pStyle w:val="ListParagraph"/>
        <w:numPr>
          <w:ilvl w:val="0"/>
          <w:numId w:val="7"/>
        </w:numPr>
      </w:pPr>
      <w:r>
        <w:t xml:space="preserve">Quantum comparison: strong tuned classical baselines plus a same-architecture classical control and an entanglement ablation; every quantum variant is logged.</w:t>
      </w:r>
    </w:p>
    <w:p>
      <w:pPr>
        <w:pStyle w:val="ListParagraph"/>
        <w:numPr>
          <w:ilvl w:val="0"/>
          <w:numId w:val="7"/>
        </w:numPr>
      </w:pPr>
      <w:r>
        <w:t xml:space="preserve">Raw and processed MIT Supercloud data are never committed (CC BY-NC-ND 4.0).</w:t>
      </w:r>
    </w:p>
    <w:p>
      <w:pPr/>
      <w:r>
        <w:rPr>
          <w:b/>
        </w:rPr>
        <w:t xml:space="preserve">Agenda collected for Meeting 1</w:t>
      </w:r>
    </w:p>
    <w:p>
      <w:pPr>
        <w:pStyle w:val="ListParagraph"/>
        <w:numPr>
          <w:ilvl w:val="0"/>
          <w:numId w:val="8"/>
        </w:numPr>
      </w:pPr>
      <w:r>
        <w:t xml:space="preserve">Alberta results (1 s, 300-step window, 90 s horizon) are not comparable to our protocol (1 min, 60 steps, 1, 5 and 15 min).</w:t>
      </w:r>
    </w:p>
    <w:p>
      <w:pPr>
        <w:pStyle w:val="ListParagraph"/>
        <w:numPr>
          <w:ilvl w:val="0"/>
          <w:numId w:val="8"/>
        </w:numPr>
      </w:pPr>
      <w:r>
        <w:t xml:space="preserve">Add DLinear and NLinear to the benchmark; decide the look-back length after the ACF.</w:t>
      </w:r>
    </w:p>
    <w:p>
      <w:pPr>
        <w:pStyle w:val="ListParagraph"/>
        <w:numPr>
          <w:ilvl w:val="0"/>
          <w:numId w:val="8"/>
        </w:numPr>
      </w:pPr>
      <w:r>
        <w:t xml:space="preserve">Thesis format, co-authorship and target venue.</w:t>
      </w:r>
    </w:p>
    <w:p>
      <w:pPr/>
      <w:r>
        <w:rPr>
          <w:b/>
        </w:rPr>
        <w:t xml:space="preserve">Lineage check (done)</w:t>
      </w:r>
    </w:p>
    <w:p>
      <w:pPr>
        <w:pStyle w:val="ListParagraph"/>
        <w:numPr>
          <w:ilvl w:val="0"/>
          <w:numId w:val="9"/>
        </w:numPr>
      </w:pPr>
      <w:r>
        <w:t xml:space="preserve">The foundation-model lineage table was checked: no match for MIT Supercloud or PM100 among 401 datasets. Only the Alibaba and Borg cluster traces appear (pre-training data for Toto and Moirai, not for Chronos or TimesFM), so zero-shot results stay secondary with a caveat. Recorded in docs/literature.md.</w:t>
      </w:r>
    </w:p>
    <w:p>
      <w:pPr>
        <w:pStyle w:val="Heading2"/>
      </w:pPr>
      <w:r>
        <w:t xml:space="preserve">4. Plan for next week (Week 2)</w:t>
      </w:r>
    </w:p>
    <w:p>
      <w:pPr/>
      <w:r>
        <w:t xml:space="preserve">Week 2 builds the one-command data pipeline and ends with Meeting 1.</w:t>
      </w:r>
    </w:p>
    <w:p>
      <w:pPr>
        <w:pStyle w:val="ListParagraph"/>
        <w:numPr>
          <w:ilvl w:val="0"/>
          <w:numId w:val="10"/>
        </w:numPr>
      </w:pPr>
      <w:r>
        <w:t xml:space="preserve">Download </w:t>
      </w:r>
      <w:r>
        <w:rPr>
          <w:rStyle w:val="CodeChar"/>
        </w:rPr>
        <w:t xml:space="preserve">slurm-log.csv</w:t>
      </w:r>
      <w:r>
        <w:t xml:space="preserve"> and one GPU job file; confirm column names and whether </w:t>
      </w:r>
      <w:r>
        <w:rPr>
          <w:rStyle w:val="CodeChar"/>
        </w:rPr>
        <w:t xml:space="preserve">timestamp</w:t>
      </w:r>
      <w:r>
        <w:t xml:space="preserve"> is absolute.</w:t>
      </w:r>
    </w:p>
    <w:p>
      <w:pPr>
        <w:pStyle w:val="ListParagraph"/>
        <w:numPr>
          <w:ilvl w:val="0"/>
          <w:numId w:val="10"/>
        </w:numPr>
      </w:pPr>
      <w:r>
        <w:t xml:space="preserve">Download a one-to-two-month subset and write </w:t>
      </w:r>
      <w:r>
        <w:rPr>
          <w:rStyle w:val="CodeChar"/>
        </w:rPr>
        <w:t xml:space="preserve">src/data/build_series.py</w:t>
      </w:r>
      <w:r>
        <w:t xml:space="preserve"> (sum job power, resample to 1 minute, save Parquet).</w:t>
      </w:r>
    </w:p>
    <w:p>
      <w:pPr>
        <w:pStyle w:val="ListParagraph"/>
        <w:numPr>
          <w:ilvl w:val="0"/>
          <w:numId w:val="10"/>
        </w:numPr>
      </w:pPr>
      <w:r>
        <w:t xml:space="preserve">Data-quality report and exploratory analysis: daily and weekly patterns, ACF and PACF, power-change distribution, ramp threshold from training data only, covariate correlations.</w:t>
      </w:r>
    </w:p>
    <w:p>
      <w:pPr>
        <w:pStyle w:val="ListParagraph"/>
        <w:numPr>
          <w:ilvl w:val="0"/>
          <w:numId w:val="10"/>
        </w:numPr>
      </w:pPr>
      <w:r>
        <w:t xml:space="preserve">Finalize the proposal and prepare Meeting 1 at the end of Week 2.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Weekly Report Week 1</dc:title>
  <dc:description>Claude Docs node/923a279e-8869@8 docx-w6</dc:description>
  <cp:revision>8</cp:revision>
</cp:coreProperties>
</file>