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left"/>
      </w:pPr>
      <w:r>
        <w:rPr>
          <w:rFonts w:ascii="Calibri Light" w:hAnsi="Calibri Light"/>
          <w:b/>
          <w:color w:val="1A365D"/>
          <w:sz w:val="48"/>
        </w:rPr>
        <w:t>Sustainability Stress Index (SSI) — Data Pipeline &amp; Preprocessing Guide</w:t>
      </w:r>
    </w:p>
    <w:p>
      <w:pPr>
        <w:spacing w:after="160" w:before="0" w:line="276" w:lineRule="auto"/>
      </w:pPr>
      <w:r>
        <w:t>This document details the architecture of our data pipeline, covering the specifications of all raw data sources, data types, temporal scopes, spatial alignment, and the exact normalization procedures executed before calculating the Compound SSI.</w:t>
      </w:r>
    </w:p>
    <w:p>
      <w:pPr>
        <w:pStyle w:val="Heading1"/>
        <w:keepNext/>
        <w:spacing w:before="360" w:after="120"/>
      </w:pPr>
      <w:r>
        <w:t>1. Raw Data Sources &amp; Specifications</w:t>
      </w:r>
    </w:p>
    <w:p>
      <w:pPr>
        <w:spacing w:after="160" w:before="0" w:line="276" w:lineRule="auto"/>
      </w:pPr>
      <w:r>
        <w:t>The pipeline integrates five distinct raw data layers, each with its own structure and acquisition method.</w:t>
      </w:r>
    </w:p>
    <w:tbl>
      <w:tblPr>
        <w:tblW w:type="auto" w:w="0"/>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337"/>
        <w:gridCol w:w="1337"/>
        <w:gridCol w:w="1337"/>
        <w:gridCol w:w="1337"/>
        <w:gridCol w:w="1337"/>
        <w:gridCol w:w="1337"/>
        <w:gridCol w:w="1337"/>
      </w:tblGrid>
      <w:tr>
        <w:tc>
          <w:tcPr>
            <w:tcW w:type="dxa" w:w="1337"/>
            <w:tcMar>
              <w:top w:w="120" w:type="dxa"/>
              <w:bottom w:w="120" w:type="dxa"/>
              <w:left w:w="150" w:type="dxa"/>
              <w:right w:w="150" w:type="dxa"/>
            </w:tcMar>
            <w:shd w:fill="1A365D"/>
          </w:tcPr>
          <w:p>
            <w:pPr>
              <w:spacing w:after="40" w:before="40"/>
            </w:pPr>
            <w:r>
              <w:rPr>
                <w:rFonts w:ascii="Calibri" w:hAnsi="Calibri"/>
                <w:b/>
                <w:color w:val="FFFFFF"/>
                <w:sz w:val="20"/>
              </w:rPr>
              <w:t>Data Source</w:t>
            </w:r>
          </w:p>
        </w:tc>
        <w:tc>
          <w:tcPr>
            <w:tcW w:type="dxa" w:w="1337"/>
            <w:tcMar>
              <w:top w:w="120" w:type="dxa"/>
              <w:bottom w:w="120" w:type="dxa"/>
              <w:left w:w="150" w:type="dxa"/>
              <w:right w:w="150" w:type="dxa"/>
            </w:tcMar>
            <w:shd w:fill="1A365D"/>
          </w:tcPr>
          <w:p>
            <w:pPr>
              <w:spacing w:after="40" w:before="40"/>
            </w:pPr>
            <w:r>
              <w:rPr>
                <w:rFonts w:ascii="Calibri" w:hAnsi="Calibri"/>
                <w:b/>
                <w:color w:val="FFFFFF"/>
                <w:sz w:val="20"/>
              </w:rPr>
              <w:t>Specific Variables</w:t>
            </w:r>
          </w:p>
        </w:tc>
        <w:tc>
          <w:tcPr>
            <w:tcW w:type="dxa" w:w="1337"/>
            <w:tcMar>
              <w:top w:w="120" w:type="dxa"/>
              <w:bottom w:w="120" w:type="dxa"/>
              <w:left w:w="150" w:type="dxa"/>
              <w:right w:w="150" w:type="dxa"/>
            </w:tcMar>
            <w:shd w:fill="1A365D"/>
          </w:tcPr>
          <w:p>
            <w:pPr>
              <w:spacing w:after="40" w:before="40"/>
            </w:pPr>
            <w:r>
              <w:rPr>
                <w:rFonts w:ascii="Calibri" w:hAnsi="Calibri"/>
                <w:b/>
                <w:color w:val="FFFFFF"/>
                <w:sz w:val="20"/>
              </w:rPr>
              <w:t>Format</w:t>
            </w:r>
          </w:p>
        </w:tc>
        <w:tc>
          <w:tcPr>
            <w:tcW w:type="dxa" w:w="1337"/>
            <w:tcMar>
              <w:top w:w="120" w:type="dxa"/>
              <w:bottom w:w="120" w:type="dxa"/>
              <w:left w:w="150" w:type="dxa"/>
              <w:right w:w="150" w:type="dxa"/>
            </w:tcMar>
            <w:shd w:fill="1A365D"/>
          </w:tcPr>
          <w:p>
            <w:pPr>
              <w:spacing w:after="40" w:before="40"/>
            </w:pPr>
            <w:r>
              <w:rPr>
                <w:rFonts w:ascii="Calibri" w:hAnsi="Calibri"/>
                <w:b/>
                <w:color w:val="FFFFFF"/>
                <w:sz w:val="20"/>
              </w:rPr>
              <w:t>Data Type</w:t>
            </w:r>
          </w:p>
        </w:tc>
        <w:tc>
          <w:tcPr>
            <w:tcW w:type="dxa" w:w="1337"/>
            <w:tcMar>
              <w:top w:w="120" w:type="dxa"/>
              <w:bottom w:w="120" w:type="dxa"/>
              <w:left w:w="150" w:type="dxa"/>
              <w:right w:w="150" w:type="dxa"/>
            </w:tcMar>
            <w:shd w:fill="1A365D"/>
          </w:tcPr>
          <w:p>
            <w:pPr>
              <w:spacing w:after="40" w:before="40"/>
            </w:pPr>
            <w:r>
              <w:rPr>
                <w:rFonts w:ascii="Calibri" w:hAnsi="Calibri"/>
                <w:b/>
                <w:color w:val="FFFFFF"/>
                <w:sz w:val="20"/>
              </w:rPr>
              <w:t>Spatial Resolution</w:t>
            </w:r>
          </w:p>
        </w:tc>
        <w:tc>
          <w:tcPr>
            <w:tcW w:type="dxa" w:w="1337"/>
            <w:tcMar>
              <w:top w:w="120" w:type="dxa"/>
              <w:bottom w:w="120" w:type="dxa"/>
              <w:left w:w="150" w:type="dxa"/>
              <w:right w:w="150" w:type="dxa"/>
            </w:tcMar>
            <w:shd w:fill="1A365D"/>
          </w:tcPr>
          <w:p>
            <w:pPr>
              <w:spacing w:after="40" w:before="40"/>
            </w:pPr>
            <w:r>
              <w:rPr>
                <w:rFonts w:ascii="Calibri" w:hAnsi="Calibri"/>
                <w:b/>
                <w:color w:val="FFFFFF"/>
                <w:sz w:val="20"/>
              </w:rPr>
              <w:t>Temporal Scope</w:t>
            </w:r>
          </w:p>
        </w:tc>
        <w:tc>
          <w:tcPr>
            <w:tcW w:type="dxa" w:w="1337"/>
            <w:tcMar>
              <w:top w:w="120" w:type="dxa"/>
              <w:bottom w:w="120" w:type="dxa"/>
              <w:left w:w="150" w:type="dxa"/>
              <w:right w:w="150" w:type="dxa"/>
            </w:tcMar>
            <w:shd w:fill="1A365D"/>
          </w:tcPr>
          <w:p>
            <w:pPr>
              <w:spacing w:after="40" w:before="40"/>
            </w:pPr>
            <w:r>
              <w:rPr>
                <w:rFonts w:ascii="Calibri" w:hAnsi="Calibri"/>
                <w:b/>
                <w:color w:val="FFFFFF"/>
                <w:sz w:val="20"/>
              </w:rPr>
              <w:t>Source Platform</w:t>
            </w:r>
          </w:p>
        </w:tc>
      </w:tr>
      <w:tr>
        <w:tc>
          <w:tcPr>
            <w:tcW w:type="dxa" w:w="1337"/>
            <w:tcMar>
              <w:top w:w="120" w:type="dxa"/>
              <w:bottom w:w="120" w:type="dxa"/>
              <w:left w:w="150" w:type="dxa"/>
              <w:right w:w="150" w:type="dxa"/>
            </w:tcMar>
            <w:shd w:fill="F7FAFC"/>
          </w:tcPr>
          <w:p>
            <w:pPr>
              <w:spacing w:after="40" w:before="40"/>
            </w:pPr>
            <w:r>
              <w:rPr>
                <w:rFonts w:ascii="Calibri" w:hAnsi="Calibri"/>
                <w:color w:val="2D3748"/>
                <w:sz w:val="19"/>
              </w:rPr>
              <w:t>ERA5 Climate</w:t>
            </w:r>
          </w:p>
        </w:tc>
        <w:tc>
          <w:tcPr>
            <w:tcW w:type="dxa" w:w="1337"/>
            <w:tcMar>
              <w:top w:w="120" w:type="dxa"/>
              <w:bottom w:w="120" w:type="dxa"/>
              <w:left w:w="150" w:type="dxa"/>
              <w:right w:w="150" w:type="dxa"/>
            </w:tcMar>
            <w:shd w:fill="F7FAFC"/>
          </w:tcPr>
          <w:p>
            <w:pPr>
              <w:spacing w:after="40" w:before="40"/>
            </w:pPr>
            <w:r>
              <w:rPr>
                <w:rFonts w:ascii="Calibri" w:hAnsi="Calibri"/>
                <w:color w:val="2D3748"/>
                <w:sz w:val="19"/>
              </w:rPr>
              <w:t>2m Air Temperature, 2m Dewpoint, Total Precipitation, U/V Wind Components, Solar Radiation, Soil Moisture</w:t>
            </w:r>
          </w:p>
        </w:tc>
        <w:tc>
          <w:tcPr>
            <w:tcW w:type="dxa" w:w="1337"/>
            <w:tcMar>
              <w:top w:w="120" w:type="dxa"/>
              <w:bottom w:w="120" w:type="dxa"/>
              <w:left w:w="150" w:type="dxa"/>
              <w:right w:w="150" w:type="dxa"/>
            </w:tcMar>
            <w:shd w:fill="F7FAFC"/>
          </w:tcPr>
          <w:p>
            <w:pPr>
              <w:spacing w:after="40" w:before="40"/>
            </w:pPr>
            <w:r>
              <w:rPr>
                <w:rFonts w:ascii="Calibri" w:hAnsi="Calibri"/>
                <w:color w:val="2D3748"/>
                <w:sz w:val="19"/>
              </w:rPr>
              <w:t>.nc (NetCDF)</w:t>
            </w:r>
          </w:p>
        </w:tc>
        <w:tc>
          <w:tcPr>
            <w:tcW w:type="dxa" w:w="1337"/>
            <w:tcMar>
              <w:top w:w="120" w:type="dxa"/>
              <w:bottom w:w="120" w:type="dxa"/>
              <w:left w:w="150" w:type="dxa"/>
              <w:right w:w="150" w:type="dxa"/>
            </w:tcMar>
            <w:shd w:fill="F7FAFC"/>
          </w:tcPr>
          <w:p>
            <w:pPr>
              <w:spacing w:after="40" w:before="40"/>
            </w:pPr>
            <w:r>
              <w:rPr>
                <w:rFonts w:ascii="Calibri" w:hAnsi="Calibri"/>
                <w:color w:val="2D3748"/>
                <w:sz w:val="19"/>
              </w:rPr>
              <w:t>Raster / Grid</w:t>
            </w:r>
          </w:p>
        </w:tc>
        <w:tc>
          <w:tcPr>
            <w:tcW w:type="dxa" w:w="1337"/>
            <w:tcMar>
              <w:top w:w="120" w:type="dxa"/>
              <w:bottom w:w="120" w:type="dxa"/>
              <w:left w:w="150" w:type="dxa"/>
              <w:right w:w="150" w:type="dxa"/>
            </w:tcMar>
            <w:shd w:fill="F7FAFC"/>
          </w:tcPr>
          <w:p>
            <w:pPr>
              <w:spacing w:after="40" w:before="40"/>
            </w:pPr>
            <w:r>
              <w:rPr>
                <w:rFonts w:ascii="Calibri" w:hAnsi="Calibri"/>
                <w:color w:val="2D3748"/>
                <w:sz w:val="19"/>
              </w:rPr>
              <w:t>0.1 degree (~11 km)</w:t>
            </w:r>
          </w:p>
        </w:tc>
        <w:tc>
          <w:tcPr>
            <w:tcW w:type="dxa" w:w="1337"/>
            <w:tcMar>
              <w:top w:w="120" w:type="dxa"/>
              <w:bottom w:w="120" w:type="dxa"/>
              <w:left w:w="150" w:type="dxa"/>
              <w:right w:w="150" w:type="dxa"/>
            </w:tcMar>
            <w:shd w:fill="F7FAFC"/>
          </w:tcPr>
          <w:p>
            <w:pPr>
              <w:spacing w:after="40" w:before="40"/>
            </w:pPr>
            <w:r>
              <w:rPr>
                <w:rFonts w:ascii="Calibri" w:hAnsi="Calibri"/>
                <w:color w:val="2D3748"/>
                <w:sz w:val="19"/>
              </w:rPr>
              <w:t>2015 – 2025 (Hourly/Monthly)</w:t>
            </w:r>
          </w:p>
        </w:tc>
        <w:tc>
          <w:tcPr>
            <w:tcW w:type="dxa" w:w="1337"/>
            <w:tcMar>
              <w:top w:w="120" w:type="dxa"/>
              <w:bottom w:w="120" w:type="dxa"/>
              <w:left w:w="150" w:type="dxa"/>
              <w:right w:w="150" w:type="dxa"/>
            </w:tcMar>
            <w:shd w:fill="F7FAFC"/>
          </w:tcPr>
          <w:p>
            <w:pPr>
              <w:spacing w:after="40" w:before="40"/>
            </w:pPr>
            <w:r>
              <w:rPr>
                <w:rFonts w:ascii="Calibri" w:hAnsi="Calibri"/>
                <w:color w:val="2D3748"/>
                <w:sz w:val="19"/>
              </w:rPr>
              <w:t>Copernicus Climate Data Store (CDS)</w:t>
            </w:r>
          </w:p>
        </w:tc>
      </w:tr>
      <w:tr>
        <w:tc>
          <w:tcPr>
            <w:tcW w:type="dxa" w:w="1337"/>
            <w:tcMar>
              <w:top w:w="120" w:type="dxa"/>
              <w:bottom w:w="120" w:type="dxa"/>
              <w:left w:w="150" w:type="dxa"/>
              <w:right w:w="150" w:type="dxa"/>
            </w:tcMar>
          </w:tcPr>
          <w:p>
            <w:pPr>
              <w:spacing w:after="40" w:before="40"/>
            </w:pPr>
            <w:r>
              <w:rPr>
                <w:rFonts w:ascii="Calibri" w:hAnsi="Calibri"/>
                <w:color w:val="2D3748"/>
                <w:sz w:val="19"/>
              </w:rPr>
              <w:t>Satellite Imagery</w:t>
            </w:r>
          </w:p>
        </w:tc>
        <w:tc>
          <w:tcPr>
            <w:tcW w:type="dxa" w:w="1337"/>
            <w:tcMar>
              <w:top w:w="120" w:type="dxa"/>
              <w:bottom w:w="120" w:type="dxa"/>
              <w:left w:w="150" w:type="dxa"/>
              <w:right w:w="150" w:type="dxa"/>
            </w:tcMar>
          </w:tcPr>
          <w:p>
            <w:pPr>
              <w:spacing w:after="40" w:before="40"/>
            </w:pPr>
            <w:r>
              <w:rPr>
                <w:rFonts w:ascii="Calibri" w:hAnsi="Calibri"/>
                <w:color w:val="2D3748"/>
                <w:sz w:val="19"/>
              </w:rPr>
              <w:t>NDVI (Greenness Index), LST (Land Surface Temperature), Built-Up fraction</w:t>
            </w:r>
          </w:p>
        </w:tc>
        <w:tc>
          <w:tcPr>
            <w:tcW w:type="dxa" w:w="1337"/>
            <w:tcMar>
              <w:top w:w="120" w:type="dxa"/>
              <w:bottom w:w="120" w:type="dxa"/>
              <w:left w:w="150" w:type="dxa"/>
              <w:right w:w="150" w:type="dxa"/>
            </w:tcMar>
          </w:tcPr>
          <w:p>
            <w:pPr>
              <w:spacing w:after="40" w:before="40"/>
            </w:pPr>
            <w:r>
              <w:rPr>
                <w:rFonts w:ascii="Calibri" w:hAnsi="Calibri"/>
                <w:color w:val="2D3748"/>
                <w:sz w:val="19"/>
              </w:rPr>
              <w:t>.tif (GeoTIFF)</w:t>
            </w:r>
          </w:p>
        </w:tc>
        <w:tc>
          <w:tcPr>
            <w:tcW w:type="dxa" w:w="1337"/>
            <w:tcMar>
              <w:top w:w="120" w:type="dxa"/>
              <w:bottom w:w="120" w:type="dxa"/>
              <w:left w:w="150" w:type="dxa"/>
              <w:right w:w="150" w:type="dxa"/>
            </w:tcMar>
          </w:tcPr>
          <w:p>
            <w:pPr>
              <w:spacing w:after="40" w:before="40"/>
            </w:pPr>
            <w:r>
              <w:rPr>
                <w:rFonts w:ascii="Calibri" w:hAnsi="Calibri"/>
                <w:color w:val="2D3748"/>
                <w:sz w:val="19"/>
              </w:rPr>
              <w:t>Raster</w:t>
            </w:r>
          </w:p>
        </w:tc>
        <w:tc>
          <w:tcPr>
            <w:tcW w:type="dxa" w:w="1337"/>
            <w:tcMar>
              <w:top w:w="120" w:type="dxa"/>
              <w:bottom w:w="120" w:type="dxa"/>
              <w:left w:w="150" w:type="dxa"/>
              <w:right w:w="150" w:type="dxa"/>
            </w:tcMar>
          </w:tcPr>
          <w:p>
            <w:pPr>
              <w:spacing w:after="40" w:before="40"/>
            </w:pPr>
            <w:r>
              <w:rPr>
                <w:rFonts w:ascii="Calibri" w:hAnsi="Calibri"/>
                <w:color w:val="2D3748"/>
                <w:sz w:val="19"/>
              </w:rPr>
              <w:t>NDVI: 10m (Sentinel-2)</w:t>
              <w:br/>
              <w:t>LST: 1km (MODIS)</w:t>
            </w:r>
          </w:p>
        </w:tc>
        <w:tc>
          <w:tcPr>
            <w:tcW w:type="dxa" w:w="1337"/>
            <w:tcMar>
              <w:top w:w="120" w:type="dxa"/>
              <w:bottom w:w="120" w:type="dxa"/>
              <w:left w:w="150" w:type="dxa"/>
              <w:right w:w="150" w:type="dxa"/>
            </w:tcMar>
          </w:tcPr>
          <w:p>
            <w:pPr>
              <w:spacing w:after="40" w:before="40"/>
            </w:pPr>
            <w:r>
              <w:rPr>
                <w:rFonts w:ascii="Calibri" w:hAnsi="Calibri"/>
                <w:color w:val="2D3748"/>
                <w:sz w:val="19"/>
              </w:rPr>
              <w:t>Monthly composite frames</w:t>
            </w:r>
          </w:p>
        </w:tc>
        <w:tc>
          <w:tcPr>
            <w:tcW w:type="dxa" w:w="1337"/>
            <w:tcMar>
              <w:top w:w="120" w:type="dxa"/>
              <w:bottom w:w="120" w:type="dxa"/>
              <w:left w:w="150" w:type="dxa"/>
              <w:right w:w="150" w:type="dxa"/>
            </w:tcMar>
          </w:tcPr>
          <w:p>
            <w:pPr>
              <w:spacing w:after="40" w:before="40"/>
            </w:pPr>
            <w:r>
              <w:rPr>
                <w:rFonts w:ascii="Calibri" w:hAnsi="Calibri"/>
                <w:color w:val="2D3748"/>
                <w:sz w:val="19"/>
              </w:rPr>
              <w:t>Microsoft Planetary Computer STAC</w:t>
            </w:r>
          </w:p>
        </w:tc>
      </w:tr>
      <w:tr>
        <w:tc>
          <w:tcPr>
            <w:tcW w:type="dxa" w:w="1337"/>
            <w:tcMar>
              <w:top w:w="120" w:type="dxa"/>
              <w:bottom w:w="120" w:type="dxa"/>
              <w:left w:w="150" w:type="dxa"/>
              <w:right w:w="150" w:type="dxa"/>
            </w:tcMar>
            <w:shd w:fill="F7FAFC"/>
          </w:tcPr>
          <w:p>
            <w:pPr>
              <w:spacing w:after="40" w:before="40"/>
            </w:pPr>
            <w:r>
              <w:rPr>
                <w:rFonts w:ascii="Calibri" w:hAnsi="Calibri"/>
                <w:color w:val="2D3748"/>
                <w:sz w:val="19"/>
              </w:rPr>
              <w:t>Urban Form</w:t>
            </w:r>
          </w:p>
        </w:tc>
        <w:tc>
          <w:tcPr>
            <w:tcW w:type="dxa" w:w="1337"/>
            <w:tcMar>
              <w:top w:w="120" w:type="dxa"/>
              <w:bottom w:w="120" w:type="dxa"/>
              <w:left w:w="150" w:type="dxa"/>
              <w:right w:w="150" w:type="dxa"/>
            </w:tcMar>
            <w:shd w:fill="F7FAFC"/>
          </w:tcPr>
          <w:p>
            <w:pPr>
              <w:spacing w:after="40" w:before="40"/>
            </w:pPr>
            <w:r>
              <w:rPr>
                <w:rFonts w:ascii="Calibri" w:hAnsi="Calibri"/>
                <w:color w:val="2D3748"/>
                <w:sz w:val="19"/>
              </w:rPr>
              <w:t>Building footprints, road network polylines, green space/park boundaries</w:t>
            </w:r>
          </w:p>
        </w:tc>
        <w:tc>
          <w:tcPr>
            <w:tcW w:type="dxa" w:w="1337"/>
            <w:tcMar>
              <w:top w:w="120" w:type="dxa"/>
              <w:bottom w:w="120" w:type="dxa"/>
              <w:left w:w="150" w:type="dxa"/>
              <w:right w:w="150" w:type="dxa"/>
            </w:tcMar>
            <w:shd w:fill="F7FAFC"/>
          </w:tcPr>
          <w:p>
            <w:pPr>
              <w:spacing w:after="40" w:before="40"/>
            </w:pPr>
            <w:r>
              <w:rPr>
                <w:rFonts w:ascii="Calibri" w:hAnsi="Calibri"/>
                <w:color w:val="2D3748"/>
                <w:sz w:val="19"/>
              </w:rPr>
              <w:t>.gpkg (GeoPackage)</w:t>
            </w:r>
          </w:p>
        </w:tc>
        <w:tc>
          <w:tcPr>
            <w:tcW w:type="dxa" w:w="1337"/>
            <w:tcMar>
              <w:top w:w="120" w:type="dxa"/>
              <w:bottom w:w="120" w:type="dxa"/>
              <w:left w:w="150" w:type="dxa"/>
              <w:right w:w="150" w:type="dxa"/>
            </w:tcMar>
            <w:shd w:fill="F7FAFC"/>
          </w:tcPr>
          <w:p>
            <w:pPr>
              <w:spacing w:after="40" w:before="40"/>
            </w:pPr>
            <w:r>
              <w:rPr>
                <w:rFonts w:ascii="Calibri" w:hAnsi="Calibri"/>
                <w:color w:val="2D3748"/>
                <w:sz w:val="19"/>
              </w:rPr>
              <w:t>Vector (Polygons &amp; Polylines)</w:t>
            </w:r>
          </w:p>
        </w:tc>
        <w:tc>
          <w:tcPr>
            <w:tcW w:type="dxa" w:w="1337"/>
            <w:tcMar>
              <w:top w:w="120" w:type="dxa"/>
              <w:bottom w:w="120" w:type="dxa"/>
              <w:left w:w="150" w:type="dxa"/>
              <w:right w:w="150" w:type="dxa"/>
            </w:tcMar>
            <w:shd w:fill="F7FAFC"/>
          </w:tcPr>
          <w:p>
            <w:pPr>
              <w:spacing w:after="40" w:before="40"/>
            </w:pPr>
            <w:r>
              <w:rPr>
                <w:rFonts w:ascii="Calibri" w:hAnsi="Calibri"/>
                <w:color w:val="2D3748"/>
                <w:sz w:val="19"/>
              </w:rPr>
              <w:t>Sub-meter vector precision</w:t>
            </w:r>
          </w:p>
        </w:tc>
        <w:tc>
          <w:tcPr>
            <w:tcW w:type="dxa" w:w="1337"/>
            <w:tcMar>
              <w:top w:w="120" w:type="dxa"/>
              <w:bottom w:w="120" w:type="dxa"/>
              <w:left w:w="150" w:type="dxa"/>
              <w:right w:w="150" w:type="dxa"/>
            </w:tcMar>
            <w:shd w:fill="F7FAFC"/>
          </w:tcPr>
          <w:p>
            <w:pPr>
              <w:spacing w:after="40" w:before="40"/>
            </w:pPr>
            <w:r>
              <w:rPr>
                <w:rFonts w:ascii="Calibri" w:hAnsi="Calibri"/>
                <w:color w:val="2D3748"/>
                <w:sz w:val="19"/>
              </w:rPr>
              <w:t>Static (Current snapshot)</w:t>
            </w:r>
          </w:p>
        </w:tc>
        <w:tc>
          <w:tcPr>
            <w:tcW w:type="dxa" w:w="1337"/>
            <w:tcMar>
              <w:top w:w="120" w:type="dxa"/>
              <w:bottom w:w="120" w:type="dxa"/>
              <w:left w:w="150" w:type="dxa"/>
              <w:right w:w="150" w:type="dxa"/>
            </w:tcMar>
            <w:shd w:fill="F7FAFC"/>
          </w:tcPr>
          <w:p>
            <w:pPr>
              <w:spacing w:after="40" w:before="40"/>
            </w:pPr>
            <w:r>
              <w:rPr>
                <w:rFonts w:ascii="Calibri" w:hAnsi="Calibri"/>
                <w:color w:val="2D3748"/>
                <w:sz w:val="19"/>
              </w:rPr>
              <w:t>OpenStreetMap (OSM) via Overpass API</w:t>
            </w:r>
          </w:p>
        </w:tc>
      </w:tr>
      <w:tr>
        <w:tc>
          <w:tcPr>
            <w:tcW w:type="dxa" w:w="1337"/>
            <w:tcMar>
              <w:top w:w="120" w:type="dxa"/>
              <w:bottom w:w="120" w:type="dxa"/>
              <w:left w:w="150" w:type="dxa"/>
              <w:right w:w="150" w:type="dxa"/>
            </w:tcMar>
          </w:tcPr>
          <w:p>
            <w:pPr>
              <w:spacing w:after="40" w:before="40"/>
            </w:pPr>
            <w:r>
              <w:rPr>
                <w:rFonts w:ascii="Calibri" w:hAnsi="Calibri"/>
                <w:color w:val="2D3748"/>
                <w:sz w:val="19"/>
              </w:rPr>
              <w:t>Air Quality</w:t>
            </w:r>
          </w:p>
        </w:tc>
        <w:tc>
          <w:tcPr>
            <w:tcW w:type="dxa" w:w="1337"/>
            <w:tcMar>
              <w:top w:w="120" w:type="dxa"/>
              <w:bottom w:w="120" w:type="dxa"/>
              <w:left w:w="150" w:type="dxa"/>
              <w:right w:w="150" w:type="dxa"/>
            </w:tcMar>
          </w:tcPr>
          <w:p>
            <w:pPr>
              <w:spacing w:after="40" w:before="40"/>
            </w:pPr>
            <w:r>
              <w:rPr>
                <w:rFonts w:ascii="Calibri" w:hAnsi="Calibri"/>
                <w:color w:val="2D3748"/>
                <w:sz w:val="19"/>
              </w:rPr>
              <w:t>PM2.5 concentrations</w:t>
            </w:r>
          </w:p>
        </w:tc>
        <w:tc>
          <w:tcPr>
            <w:tcW w:type="dxa" w:w="1337"/>
            <w:tcMar>
              <w:top w:w="120" w:type="dxa"/>
              <w:bottom w:w="120" w:type="dxa"/>
              <w:left w:w="150" w:type="dxa"/>
              <w:right w:w="150" w:type="dxa"/>
            </w:tcMar>
          </w:tcPr>
          <w:p>
            <w:pPr>
              <w:spacing w:after="40" w:before="40"/>
            </w:pPr>
            <w:r>
              <w:rPr>
                <w:rFonts w:ascii="Calibri" w:hAnsi="Calibri"/>
                <w:color w:val="2D3748"/>
                <w:sz w:val="19"/>
              </w:rPr>
              <w:t>.tif (GeoTIFF) or procedurally generated</w:t>
            </w:r>
          </w:p>
        </w:tc>
        <w:tc>
          <w:tcPr>
            <w:tcW w:type="dxa" w:w="1337"/>
            <w:tcMar>
              <w:top w:w="120" w:type="dxa"/>
              <w:bottom w:w="120" w:type="dxa"/>
              <w:left w:w="150" w:type="dxa"/>
              <w:right w:w="150" w:type="dxa"/>
            </w:tcMar>
          </w:tcPr>
          <w:p>
            <w:pPr>
              <w:spacing w:after="40" w:before="40"/>
            </w:pPr>
            <w:r>
              <w:rPr>
                <w:rFonts w:ascii="Calibri" w:hAnsi="Calibri"/>
                <w:color w:val="2D3748"/>
                <w:sz w:val="19"/>
              </w:rPr>
              <w:t>Raster</w:t>
            </w:r>
          </w:p>
        </w:tc>
        <w:tc>
          <w:tcPr>
            <w:tcW w:type="dxa" w:w="1337"/>
            <w:tcMar>
              <w:top w:w="120" w:type="dxa"/>
              <w:bottom w:w="120" w:type="dxa"/>
              <w:left w:w="150" w:type="dxa"/>
              <w:right w:w="150" w:type="dxa"/>
            </w:tcMar>
          </w:tcPr>
          <w:p>
            <w:pPr>
              <w:spacing w:after="40" w:before="40"/>
            </w:pPr>
            <w:r>
              <w:rPr>
                <w:rFonts w:ascii="Calibri" w:hAnsi="Calibri"/>
                <w:color w:val="2D3748"/>
                <w:sz w:val="19"/>
              </w:rPr>
              <w:t>0.01 degree (~1 km)</w:t>
            </w:r>
          </w:p>
        </w:tc>
        <w:tc>
          <w:tcPr>
            <w:tcW w:type="dxa" w:w="1337"/>
            <w:tcMar>
              <w:top w:w="120" w:type="dxa"/>
              <w:bottom w:w="120" w:type="dxa"/>
              <w:left w:w="150" w:type="dxa"/>
              <w:right w:w="150" w:type="dxa"/>
            </w:tcMar>
          </w:tcPr>
          <w:p>
            <w:pPr>
              <w:spacing w:after="40" w:before="40"/>
            </w:pPr>
            <w:r>
              <w:rPr>
                <w:rFonts w:ascii="Calibri" w:hAnsi="Calibri"/>
                <w:color w:val="2D3748"/>
                <w:sz w:val="19"/>
              </w:rPr>
              <w:t>Monthly</w:t>
            </w:r>
          </w:p>
        </w:tc>
        <w:tc>
          <w:tcPr>
            <w:tcW w:type="dxa" w:w="1337"/>
            <w:tcMar>
              <w:top w:w="120" w:type="dxa"/>
              <w:bottom w:w="120" w:type="dxa"/>
              <w:left w:w="150" w:type="dxa"/>
              <w:right w:w="150" w:type="dxa"/>
            </w:tcMar>
          </w:tcPr>
          <w:p>
            <w:pPr>
              <w:spacing w:after="40" w:before="40"/>
            </w:pPr>
            <w:r>
              <w:rPr>
                <w:rFonts w:ascii="Calibri" w:hAnsi="Calibri"/>
                <w:color w:val="2D3748"/>
                <w:sz w:val="19"/>
              </w:rPr>
              <w:t>NASA SEDAC (with Synthetic fallback)</w:t>
            </w:r>
          </w:p>
        </w:tc>
      </w:tr>
      <w:tr>
        <w:tc>
          <w:tcPr>
            <w:tcW w:type="dxa" w:w="1337"/>
            <w:tcMar>
              <w:top w:w="120" w:type="dxa"/>
              <w:bottom w:w="120" w:type="dxa"/>
              <w:left w:w="150" w:type="dxa"/>
              <w:right w:w="150" w:type="dxa"/>
            </w:tcMar>
            <w:shd w:fill="F7FAFC"/>
          </w:tcPr>
          <w:p>
            <w:pPr>
              <w:spacing w:after="40" w:before="40"/>
            </w:pPr>
            <w:r>
              <w:rPr>
                <w:rFonts w:ascii="Calibri" w:hAnsi="Calibri"/>
                <w:color w:val="2D3748"/>
                <w:sz w:val="19"/>
              </w:rPr>
              <w:t>Demographics</w:t>
            </w:r>
          </w:p>
        </w:tc>
        <w:tc>
          <w:tcPr>
            <w:tcW w:type="dxa" w:w="1337"/>
            <w:tcMar>
              <w:top w:w="120" w:type="dxa"/>
              <w:bottom w:w="120" w:type="dxa"/>
              <w:left w:w="150" w:type="dxa"/>
              <w:right w:w="150" w:type="dxa"/>
            </w:tcMar>
            <w:shd w:fill="F7FAFC"/>
          </w:tcPr>
          <w:p>
            <w:pPr>
              <w:spacing w:after="40" w:before="40"/>
            </w:pPr>
            <w:r>
              <w:rPr>
                <w:rFonts w:ascii="Calibri" w:hAnsi="Calibri"/>
                <w:color w:val="2D3748"/>
                <w:sz w:val="19"/>
              </w:rPr>
              <w:t>Slum %, Below Poverty Line %, Elderly population %, Literacy rate %</w:t>
            </w:r>
          </w:p>
        </w:tc>
        <w:tc>
          <w:tcPr>
            <w:tcW w:type="dxa" w:w="1337"/>
            <w:tcMar>
              <w:top w:w="120" w:type="dxa"/>
              <w:bottom w:w="120" w:type="dxa"/>
              <w:left w:w="150" w:type="dxa"/>
              <w:right w:w="150" w:type="dxa"/>
            </w:tcMar>
            <w:shd w:fill="F7FAFC"/>
          </w:tcPr>
          <w:p>
            <w:pPr>
              <w:spacing w:after="40" w:before="40"/>
            </w:pPr>
            <w:r>
              <w:rPr>
                <w:rFonts w:ascii="Calibri" w:hAnsi="Calibri"/>
                <w:color w:val="2D3748"/>
                <w:sz w:val="19"/>
              </w:rPr>
              <w:t>Tabular .csv or spatial attributes</w:t>
            </w:r>
          </w:p>
        </w:tc>
        <w:tc>
          <w:tcPr>
            <w:tcW w:type="dxa" w:w="1337"/>
            <w:tcMar>
              <w:top w:w="120" w:type="dxa"/>
              <w:bottom w:w="120" w:type="dxa"/>
              <w:left w:w="150" w:type="dxa"/>
              <w:right w:w="150" w:type="dxa"/>
            </w:tcMar>
            <w:shd w:fill="F7FAFC"/>
          </w:tcPr>
          <w:p>
            <w:pPr>
              <w:spacing w:after="40" w:before="40"/>
            </w:pPr>
            <w:r>
              <w:rPr>
                <w:rFonts w:ascii="Calibri" w:hAnsi="Calibri"/>
                <w:color w:val="2D3748"/>
                <w:sz w:val="19"/>
              </w:rPr>
              <w:t>Numeric Float/Int</w:t>
            </w:r>
          </w:p>
        </w:tc>
        <w:tc>
          <w:tcPr>
            <w:tcW w:type="dxa" w:w="1337"/>
            <w:tcMar>
              <w:top w:w="120" w:type="dxa"/>
              <w:bottom w:w="120" w:type="dxa"/>
              <w:left w:w="150" w:type="dxa"/>
              <w:right w:w="150" w:type="dxa"/>
            </w:tcMar>
            <w:shd w:fill="F7FAFC"/>
          </w:tcPr>
          <w:p>
            <w:pPr>
              <w:spacing w:after="40" w:before="40"/>
            </w:pPr>
            <w:r>
              <w:rPr>
                <w:rFonts w:ascii="Calibri" w:hAnsi="Calibri"/>
                <w:color w:val="2D3748"/>
                <w:sz w:val="19"/>
              </w:rPr>
              <w:t>District/Ward level</w:t>
            </w:r>
          </w:p>
        </w:tc>
        <w:tc>
          <w:tcPr>
            <w:tcW w:type="dxa" w:w="1337"/>
            <w:tcMar>
              <w:top w:w="120" w:type="dxa"/>
              <w:bottom w:w="120" w:type="dxa"/>
              <w:left w:w="150" w:type="dxa"/>
              <w:right w:w="150" w:type="dxa"/>
            </w:tcMar>
            <w:shd w:fill="F7FAFC"/>
          </w:tcPr>
          <w:p>
            <w:pPr>
              <w:spacing w:after="40" w:before="40"/>
            </w:pPr>
            <w:r>
              <w:rPr>
                <w:rFonts w:ascii="Calibri" w:hAnsi="Calibri"/>
                <w:color w:val="2D3748"/>
                <w:sz w:val="19"/>
              </w:rPr>
              <w:t>Decadal Census / Local priors</w:t>
            </w:r>
          </w:p>
        </w:tc>
        <w:tc>
          <w:tcPr>
            <w:tcW w:type="dxa" w:w="1337"/>
            <w:tcMar>
              <w:top w:w="120" w:type="dxa"/>
              <w:bottom w:w="120" w:type="dxa"/>
              <w:left w:w="150" w:type="dxa"/>
              <w:right w:w="150" w:type="dxa"/>
            </w:tcMar>
            <w:shd w:fill="F7FAFC"/>
          </w:tcPr>
          <w:p>
            <w:pPr>
              <w:spacing w:after="40" w:before="40"/>
            </w:pPr>
            <w:r>
              <w:rPr>
                <w:rFonts w:ascii="Calibri" w:hAnsi="Calibri"/>
                <w:color w:val="2D3748"/>
                <w:sz w:val="19"/>
              </w:rPr>
              <w:t>Census of India / Synthetic priors</w:t>
            </w:r>
          </w:p>
        </w:tc>
      </w:tr>
    </w:tbl>
    <w:p>
      <w:pPr>
        <w:spacing w:after="240"/>
      </w:pPr>
    </w:p>
    <w:p>
      <w:pPr>
        <w:pStyle w:val="Heading1"/>
        <w:keepNext/>
        <w:spacing w:before="360" w:after="120"/>
      </w:pPr>
      <w:r>
        <w:t>2. Spatial &amp; Temporal Harmonization</w:t>
      </w:r>
    </w:p>
    <w:p>
      <w:pPr>
        <w:spacing w:after="160" w:before="0" w:line="276" w:lineRule="auto"/>
      </w:pPr>
      <w:r>
        <w:t>Before any mathematical calculations occur, all raw files are mapped to a uniform spatial-temporal coordinate system.</w:t>
      </w:r>
    </w:p>
    <w:p>
      <w:pPr>
        <w:spacing w:before="120" w:after="120"/>
        <w:ind w:left="576"/>
      </w:pPr>
      <w:r>
        <w:rPr>
          <w:rFonts w:ascii="Courier New" w:hAnsi="Courier New"/>
          <w:color w:val="5A646E"/>
          <w:sz w:val="19"/>
        </w:rPr>
        <w:t>+------------------+    +------------------+    +-------------------+    +-------------------+</w:t>
        <w:br/>
        <w:t>|   ERA5 NetCDF    |    |  Satellite TIF   |    |     OSM Vector    |    |   Demographics    |</w:t>
        <w:br/>
        <w:t>| (11km Climate)   |    |  (10m/1km Grid)  |    | (Building/Roads)  |    |     (Tabular)     |</w:t>
        <w:br/>
        <w:t>+--------+---------+    +--------+---------+    +---------+---------+    +---------+---------+</w:t>
        <w:br/>
        <w:t xml:space="preserve">         |                       |                        |                        |</w:t>
        <w:br/>
        <w:t xml:space="preserve">         v                       v                        v                        v</w:t>
        <w:br/>
        <w:t xml:space="preserve">  Centroid Interpolation  Zonal Statistics (Mean)  Spatial Buffers &amp; Areas   Centroid Mappings</w:t>
        <w:br/>
        <w:t xml:space="preserve">         |                       |                        |                        |</w:t>
        <w:br/>
        <w:t xml:space="preserve">         +-----------------------+-----------+------------+------------------------+</w:t>
        <w:br/>
        <w:t xml:space="preserve">                                             |</w:t>
        <w:br/>
        <w:t xml:space="preserve">                                             v</w:t>
        <w:br/>
        <w:t xml:space="preserve">                             Spatiotemporal Skeleton Join</w:t>
        <w:br/>
        <w:t xml:space="preserve">                      [H3 Cell Index (Res 8) x Calendar Month]</w:t>
        <w:br/>
        <w:t xml:space="preserve">                                             |</w:t>
        <w:br/>
        <w:t xml:space="preserve">                                             v</w:t>
        <w:br/>
        <w:t xml:space="preserve">                                  Unified Panel Parquet</w:t>
      </w:r>
    </w:p>
    <w:p>
      <w:pPr>
        <w:pStyle w:val="Heading2"/>
        <w:keepNext/>
        <w:spacing w:before="240" w:after="80"/>
      </w:pPr>
      <w:r>
        <w:t>Step 2.1: Spatial Grid Slicing (H3 Grid)</w:t>
      </w:r>
    </w:p>
    <w:p>
      <w:pPr>
        <w:pStyle w:val="ListBullet"/>
        <w:spacing w:after="60" w:before="0"/>
      </w:pPr>
      <w:r>
        <w:t>We generate a contiguous grid of H3 hexagonal cells at Resolution 8 covering the target city's bounding box.</w:t>
      </w:r>
    </w:p>
    <w:p>
      <w:pPr>
        <w:pStyle w:val="ListBullet"/>
        <w:spacing w:after="60" w:before="0"/>
      </w:pPr>
      <w:r>
        <w:t>A Resolution 8 cell has an average area of 0.74 square kilometers and an edge length of 461 meters. This resolution is selected because it represents a standard walking neighborhood scale (pedestrian catchment area).</w:t>
      </w:r>
    </w:p>
    <w:p>
      <w:pPr>
        <w:pStyle w:val="Heading2"/>
        <w:keepNext/>
        <w:spacing w:before="240" w:after="80"/>
      </w:pPr>
      <w:r>
        <w:t>Step 2.2: The Spatiotemporal Skeleton</w:t>
      </w:r>
    </w:p>
    <w:p>
      <w:pPr>
        <w:pStyle w:val="ListBullet"/>
        <w:spacing w:after="60" w:before="0"/>
      </w:pPr>
      <w:r>
        <w:t>The pipeline constructs a master temporal table containing the Cartesian product of all active H3 cell indexes and every calendar month within the study period (e.g. 120 months for 10 years).</w:t>
      </w:r>
    </w:p>
    <w:p>
      <w:pPr>
        <w:pStyle w:val="ListBullet"/>
        <w:spacing w:after="60" w:before="0"/>
      </w:pPr>
      <w:r>
        <w:t>For a city like Mumbai with 2,501 hex cells monitored over 12 months, this creates a unified master skeleton of exactly 30,012 observation rows.</w:t>
      </w:r>
    </w:p>
    <w:p>
      <w:pPr>
        <w:pStyle w:val="Heading2"/>
        <w:keepNext/>
        <w:spacing w:before="240" w:after="80"/>
      </w:pPr>
      <w:r>
        <w:t>Step 2.3: Data Mapping &amp; Aggregation onto the Grid</w:t>
      </w:r>
    </w:p>
    <w:p>
      <w:pPr>
        <w:spacing w:after="160" w:before="0" w:line="276" w:lineRule="auto"/>
      </w:pPr>
      <w:r>
        <w:t>Raw datasets are mapped to this skeleton using specific geospatial routines:</w:t>
      </w:r>
    </w:p>
    <w:p>
      <w:pPr>
        <w:pStyle w:val="ListBullet"/>
        <w:spacing w:after="60" w:before="0"/>
      </w:pPr>
      <w:r>
        <w:t>Climate Grids (NetCDF): The centroid coordinates (Latitude/Longitude) of each H3 hex cell are used to query and spatially interpolate climate values from the 11km resolution ERA5 grid.</w:t>
      </w:r>
    </w:p>
    <w:p>
      <w:pPr>
        <w:pStyle w:val="ListBullet"/>
        <w:spacing w:after="60" w:before="0"/>
      </w:pPr>
      <w:r>
        <w:t>Satellite Imagery (Rasters): For each monthly LST and NDVI GeoTIFF, zonal statistics are calculated. The pipeline computes the average pixel value falling within the geographic boundaries of each H3 hexagon using polygon rasterization.</w:t>
      </w:r>
    </w:p>
    <w:p>
      <w:pPr>
        <w:pStyle w:val="ListBullet"/>
        <w:spacing w:after="60" w:before="0"/>
      </w:pPr>
      <w:r>
        <w:t>Urban Form (Vector polygons):</w:t>
      </w:r>
    </w:p>
    <w:p>
      <w:pPr>
        <w:pStyle w:val="ListBullet"/>
        <w:spacing w:after="60" w:before="0"/>
      </w:pPr>
      <w:r>
        <w:t>*Buildings:* The pipeline calculates building density (count of building centroids per H3 cell) and building footprint fraction (sum of building footprint polygon areas intersecting the H3 cell divided by the total area of the H3 cell).</w:t>
      </w:r>
    </w:p>
    <w:p>
      <w:pPr>
        <w:pStyle w:val="ListBullet"/>
        <w:spacing w:after="60" w:before="0"/>
      </w:pPr>
      <w:r>
        <w:t>*Roads:* Calculated as road density (total length of road polylines inside the H3 cell in kilometers divided by the H3 cell area in square kilometers).</w:t>
      </w:r>
    </w:p>
    <w:p>
      <w:pPr>
        <w:pStyle w:val="ListBullet"/>
        <w:spacing w:after="60" w:before="0"/>
      </w:pPr>
      <w:r>
        <w:t>*Green Spaces:* Sourced from OSM parks and gardens; calculated as the fraction of H3 cell area covered by green spaces.</w:t>
      </w:r>
    </w:p>
    <w:p>
      <w:pPr>
        <w:pStyle w:val="ListBullet"/>
        <w:spacing w:after="60" w:before="0"/>
      </w:pPr>
      <w:r>
        <w:t>Demographics: Census boundaries are intersected with H3 centroids. The demographic values (slum %, poverty rate) of the intersecting census tract are assigned to that H3 cell.</w:t>
      </w:r>
    </w:p>
    <w:p>
      <w:pPr>
        <w:pStyle w:val="Heading1"/>
        <w:keepNext/>
        <w:spacing w:before="360" w:after="120"/>
      </w:pPr>
      <w:r>
        <w:t>3. Data Preprocessing &amp; Normalization</w:t>
      </w:r>
    </w:p>
    <w:p>
      <w:pPr>
        <w:spacing w:after="160" w:before="0" w:line="276" w:lineRule="auto"/>
      </w:pPr>
      <w:r>
        <w:t>Once the raw attributes are successfully merged onto the H3 spacetime skeleton, they undergo structured normalizations before indicator formulas are applied.</w:t>
      </w:r>
    </w:p>
    <w:p>
      <w:pPr>
        <w:pStyle w:val="Heading2"/>
        <w:keepNext/>
        <w:spacing w:before="240" w:after="80"/>
      </w:pPr>
      <w:r>
        <w:t>Step 3.1: Temporal Gap Filling (Cloud Correction)</w:t>
      </w:r>
    </w:p>
    <w:p>
      <w:pPr>
        <w:pStyle w:val="ListBullet"/>
        <w:spacing w:after="60" w:before="0"/>
      </w:pPr>
      <w:r>
        <w:t>Satellite imagery (especially NDVI) often suffers from cloud cover gaps.</w:t>
      </w:r>
    </w:p>
    <w:p>
      <w:pPr>
        <w:pStyle w:val="ListBullet"/>
        <w:spacing w:after="60" w:before="0"/>
      </w:pPr>
      <w:r>
        <w:t>The pipeline applies a localized temporal linear interpolation (forward-fill and backward-fill) per H3 cell to reconstruct missing monthly values. If a cell remains missing, it falls back to the city-wide calendar-month historic mean.</w:t>
      </w:r>
    </w:p>
    <w:p>
      <w:pPr>
        <w:pStyle w:val="Heading2"/>
        <w:keepNext/>
        <w:spacing w:before="240" w:after="80"/>
      </w:pPr>
      <w:r>
        <w:t>Step 3.2: Static Indicator Min-Max Normalization</w:t>
      </w:r>
    </w:p>
    <w:p>
      <w:pPr>
        <w:spacing w:after="160" w:before="0" w:line="276" w:lineRule="auto"/>
      </w:pPr>
      <w:r>
        <w:t xml:space="preserve">Static indicators (demographics and urban form density) are normalized to a uniform </w:t>
      </w:r>
      <w:r>
        <w:rPr>
          <w:rFonts w:ascii="Courier New" w:hAnsi="Courier New"/>
          <w:b/>
          <w:color w:val="E53E6D"/>
          <w:sz w:val="20"/>
        </w:rPr>
        <w:t>[0, 1]</w:t>
      </w:r>
      <w:r>
        <w:t xml:space="preserve"> range to represent relative spatial exposure across the city:</w:t>
      </w:r>
    </w:p>
    <w:p>
      <w:pPr>
        <w:spacing w:before="120" w:after="120"/>
        <w:ind w:left="576"/>
      </w:pPr>
      <w:r>
        <w:rPr>
          <w:rFonts w:ascii="Courier New" w:hAnsi="Courier New"/>
          <w:color w:val="5A646E"/>
          <w:sz w:val="19"/>
        </w:rPr>
        <w:t>Normalized_Value = (Raw_Value - Min_City_Value) / (Max_City_Value - Min_City_Value)</w:t>
      </w:r>
    </w:p>
    <w:p>
      <w:pPr>
        <w:spacing w:after="160" w:before="0" w:line="276" w:lineRule="auto"/>
      </w:pPr>
      <w:r>
        <w:t>If a higher variable value represents a *lower* stress level (e.g. green space coverage or literacy rates), the normalization is inverted so that higher scores consistently represent higher stress:</w:t>
      </w:r>
    </w:p>
    <w:p>
      <w:pPr>
        <w:spacing w:before="120" w:after="120"/>
        <w:ind w:left="576"/>
      </w:pPr>
      <w:r>
        <w:rPr>
          <w:rFonts w:ascii="Courier New" w:hAnsi="Courier New"/>
          <w:color w:val="5A646E"/>
          <w:sz w:val="19"/>
        </w:rPr>
        <w:t>Inverted_Normalized_Value = 1 - Normalized_Value</w:t>
      </w:r>
    </w:p>
    <w:p>
      <w:pPr>
        <w:pStyle w:val="Heading2"/>
        <w:keepNext/>
        <w:spacing w:before="240" w:after="80"/>
      </w:pPr>
      <w:r>
        <w:t>Step 3.3: Dynamic Indicator Calendar-Month Baseline Z-Score Normalization</w:t>
      </w:r>
    </w:p>
    <w:p>
      <w:pPr>
        <w:spacing w:after="160" w:before="0" w:line="276" w:lineRule="auto"/>
      </w:pPr>
      <w:r>
        <w:t>Climatic and satellite factors (Temperature, Precipitation, Soil Moisture, NDVI, PM2.5) are highly seasonal. Normalizing them against a global mean would falsely flag standard winters or summers as anomalies.</w:t>
      </w:r>
    </w:p>
    <w:p>
      <w:pPr>
        <w:spacing w:after="160" w:before="0" w:line="276" w:lineRule="auto"/>
      </w:pPr>
      <w:r>
        <w:t xml:space="preserve">To resolve this, we normalize dynamic features using a </w:t>
      </w:r>
      <w:r>
        <w:rPr>
          <w:b/>
        </w:rPr>
        <w:t>monthly baseline z-score</w:t>
      </w:r>
      <w:r>
        <w:t xml:space="preserve"> derived from a historical reference period (typically the first 3 to 10 years of data):</w:t>
      </w:r>
    </w:p>
    <w:p>
      <w:pPr>
        <w:pStyle w:val="ListNumber"/>
        <w:spacing w:after="80" w:before="0"/>
      </w:pPr>
      <w:r>
        <w:t>Baseline Calculations: For every H3 cell, we calculate the historic average (</w:t>
      </w:r>
      <w:r>
        <w:rPr>
          <w:rFonts w:ascii="Courier New" w:hAnsi="Courier New"/>
          <w:b/>
          <w:color w:val="E53E6D"/>
          <w:sz w:val="20"/>
        </w:rPr>
        <w:t>Mean_Baseline</w:t>
      </w:r>
      <w:r>
        <w:t>) and standard deviation (</w:t>
      </w:r>
      <w:r>
        <w:rPr>
          <w:rFonts w:ascii="Courier New" w:hAnsi="Courier New"/>
          <w:b/>
          <w:color w:val="E53E6D"/>
          <w:sz w:val="20"/>
        </w:rPr>
        <w:t>StdDev_Baseline</w:t>
      </w:r>
      <w:r>
        <w:t>) for each of the 12 calendar months individually (e.g., the average temperature of all Januaries in the baseline period).</w:t>
      </w:r>
    </w:p>
    <w:p>
      <w:pPr>
        <w:pStyle w:val="ListNumber"/>
        <w:spacing w:after="80" w:before="0"/>
      </w:pPr>
      <w:r>
        <w:t>Z-Score Mapping: Each monthly observation is evaluated against its corresponding month's baseline parameters:</w:t>
      </w:r>
    </w:p>
    <w:p>
      <w:pPr>
        <w:spacing w:before="120" w:after="120"/>
        <w:ind w:left="576"/>
      </w:pPr>
      <w:r>
        <w:rPr>
          <w:rFonts w:ascii="Courier New" w:hAnsi="Courier New"/>
          <w:color w:val="5A646E"/>
          <w:sz w:val="19"/>
        </w:rPr>
        <w:t xml:space="preserve">   Z_Score = (Raw_Value - Mean_Baseline_for_Month) / StdDev_Baseline_for_Month</w:t>
      </w:r>
    </w:p>
    <w:p>
      <w:pPr>
        <w:pStyle w:val="ListNumber"/>
        <w:spacing w:after="80" w:before="0"/>
      </w:pPr>
      <w:r>
        <w:t>Stress Flooring: Since we are interested in elevated stress, negative z-scores (indicating conditions cooler, wetter, or cleaner than average) are floored at 0 using a maximum function:</w:t>
      </w:r>
    </w:p>
    <w:p>
      <w:pPr>
        <w:spacing w:before="120" w:after="120"/>
        <w:ind w:left="576"/>
      </w:pPr>
      <w:r>
        <w:rPr>
          <w:rFonts w:ascii="Courier New" w:hAnsi="Courier New"/>
          <w:color w:val="5A646E"/>
          <w:sz w:val="19"/>
        </w:rPr>
        <w:t xml:space="preserve">   Stress_Score = Max( 0, Z_Score )</w:t>
      </w:r>
    </w:p>
    <w:p>
      <w:pPr>
        <w:pStyle w:val="ListNumber"/>
        <w:spacing w:after="80" w:before="0"/>
      </w:pPr>
      <w:r>
        <w:t xml:space="preserve">Vegetation Inversion: Because higher greenness (NDVI) indicates healthier vegetation (lower stress), the NDVI z-score is multiplied by </w:t>
      </w:r>
      <w:r>
        <w:rPr>
          <w:rFonts w:ascii="Courier New" w:hAnsi="Courier New"/>
          <w:b/>
          <w:color w:val="E53E6D"/>
          <w:sz w:val="20"/>
        </w:rPr>
        <w:t>-1</w:t>
      </w:r>
      <w:r>
        <w:t xml:space="preserve"> so that a negative vegetative anomaly represents positive degradation stress:</w:t>
      </w:r>
    </w:p>
    <w:p>
      <w:pPr>
        <w:spacing w:before="120" w:after="120"/>
        <w:ind w:left="576"/>
      </w:pPr>
      <w:r>
        <w:rPr>
          <w:rFonts w:ascii="Courier New" w:hAnsi="Courier New"/>
          <w:color w:val="5A646E"/>
          <w:sz w:val="19"/>
        </w:rPr>
        <w:t xml:space="preserve">   VDI_Score = Max( 0, -1 * NDVI_Z_Score )</w:t>
      </w:r>
    </w:p>
    <w:p>
      <w:pPr>
        <w:spacing w:after="160" w:before="0" w:line="276" w:lineRule="auto"/>
      </w:pPr>
      <w:r>
        <w:t>These preprocessed, normalized indicators are then passed directly into the final feature scoring and composite index calculations.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b/>
      <w:bCs/>
      <w:color w:val="1A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6CB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A55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