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AI-Powered Integrated Bid Compliance</w:t>
        <w:br/>
        <w:t>Verification Platform for GeM</w:t>
      </w:r>
    </w:p>
    <w:p>
      <w:pPr>
        <w:jc w:val="center"/>
      </w:pPr>
      <w:r>
        <w:rPr>
          <w:i/>
          <w:sz w:val="22"/>
        </w:rPr>
        <w:t>SIH26100 | Implementation-Ready Solution Documentation</w:t>
      </w:r>
    </w:p>
    <w:p>
      <w:pPr>
        <w:jc w:val="center"/>
      </w:pPr>
      <w:r>
        <w:rPr>
          <w:sz w:val="19"/>
        </w:rPr>
        <w:t>A concise technical blueprint covering the product, architecture, dataset, AI stack, scoring, security, risks and demo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North-star design</w:t>
            </w:r>
          </w:p>
        </w:tc>
      </w:tr>
      <w:tr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AI finds and explains evidence; deterministic code verifies facts; the Procurement Officer makes the final decision.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/>
      <w:r>
        <w:t>The platform is a decision-support system for GeM bid evaluation. It reduces manual cross-checking by turning tender clauses and bidder documents into structured compliance rules, locating visual evidence in complex PDFs, verifying identifiers against approved data sources, and presenting a rule-by-rule result with traceable evidence. The attached research explicitly recommends shifting from OCR-first text RAG to a Vision-NLI Compliance Matrix. (Research report, pp. 16-17)</w:t>
      </w:r>
    </w:p>
    <w:p>
      <w:r/>
      <w:r>
        <w:t>The key product principle is evidence-backed verification rather than open-ended AI judgment. Production integrations with restricted government systems are outside the hackathon scope; the prototype should use a live GST sandbox where feasible and adapter-backed mock/local sources elsewhere. (Research report, pp. 9-10)</w:t>
      </w:r>
    </w:p>
    <w:p>
      <w:pPr>
        <w:pStyle w:val="Heading1"/>
      </w:pPr>
      <w:r>
        <w:t>2. Problem, Goals and Scope</w:t>
      </w:r>
    </w:p>
    <w:p>
      <w:r/>
      <w:r>
        <w:t>GeM tender evaluation is document-heavy and often requires checking bidder evidence against tender clauses and external government records. The PS calls for automated identification of missing/inconsistent information, a Compliance Score and Risk Level, recommendations, and an auditable record. (Research report, pp. 2-3)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In scope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Out of scope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Tender and bidder PDF ingestion; rule extraction; visual evidence retrieval; targeted OCR; API/mock verification; deterministic rules; NLI; scoring; audit trail; human review.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Unauthorized or production scraping of restricted PAN/Income Tax/EPFO systems; training a foundation model from scratch; autonomous bidder disqualification; millions of historical bids.</w:t>
            </w:r>
          </w:p>
        </w:tc>
      </w:tr>
    </w:tbl>
    <w:p>
      <w:pPr>
        <w:spacing w:after="0"/>
      </w:pPr>
    </w:p>
    <w:p>
      <w:pPr>
        <w:pStyle w:val="Heading1"/>
      </w:pPr>
      <w:r>
        <w:t>3. End-to-End Workflow</w:t>
      </w:r>
    </w:p>
    <w:p>
      <w:pPr>
        <w:pStyle w:val="ListNumber"/>
        <w:spacing w:after="20"/>
      </w:pPr>
      <w:r>
        <w:t>Upload tender and bidder packages; version records.</w:t>
      </w:r>
    </w:p>
    <w:p>
      <w:pPr>
        <w:pStyle w:val="ListNumber"/>
        <w:spacing w:after="20"/>
      </w:pPr>
      <w:r>
        <w:t>Hash every document on ingestion using SHA-3-512 and store the audit event.</w:t>
      </w:r>
    </w:p>
    <w:p>
      <w:pPr>
        <w:pStyle w:val="ListNumber"/>
        <w:spacing w:after="20"/>
      </w:pPr>
      <w:r>
        <w:t>Extract tender clauses into structured rules: requirement, evidence type, threshold, exception and severity.</w:t>
      </w:r>
    </w:p>
    <w:p>
      <w:pPr>
        <w:pStyle w:val="ListNumber"/>
        <w:spacing w:after="20"/>
      </w:pPr>
      <w:r>
        <w:t>Index bidder pages visually; retrieve the most relevant evidence page/region for each rule.</w:t>
      </w:r>
    </w:p>
    <w:p>
      <w:pPr>
        <w:pStyle w:val="ListNumber"/>
        <w:spacing w:after="20"/>
      </w:pPr>
      <w:r>
        <w:t>Run targeted OCR/layout extraction only where a precise identifier/value is required.</w:t>
      </w:r>
    </w:p>
    <w:p>
      <w:pPr>
        <w:pStyle w:val="ListNumber"/>
        <w:spacing w:after="20"/>
      </w:pPr>
      <w:r>
        <w:t>Route identifiers to VerificationAdapter connectors or deterministic local fixtures.</w:t>
      </w:r>
    </w:p>
    <w:p>
      <w:pPr>
        <w:pStyle w:val="ListNumber"/>
        <w:spacing w:after="20"/>
      </w:pPr>
      <w:r>
        <w:t>Evaluate numbers, dates, status and exceptions with deterministic code; use NLI only for contextual clauses.</w:t>
      </w:r>
    </w:p>
    <w:p>
      <w:pPr>
        <w:pStyle w:val="ListNumber"/>
        <w:spacing w:after="20"/>
      </w:pPr>
      <w:r>
        <w:t>Aggregate results into Compliance Score and Risk Level and show evidence overlays.</w:t>
      </w:r>
    </w:p>
    <w:p>
      <w:pPr>
        <w:pStyle w:val="ListNumber"/>
        <w:spacing w:after="20"/>
      </w:pPr>
      <w:r>
        <w:t>Route PASS/FAIL/REVIEW recommendation to the Procurement Officer and persist the full audit trail.</w:t>
      </w:r>
    </w:p>
    <w:p>
      <w:pPr>
        <w:pStyle w:val="Heading1"/>
      </w:pPr>
      <w:r>
        <w:t>4.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1824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Vision-NLI Compliance Matrix: visual retrieval first, targeted extraction second, external verification and deterministic decisioning in parallel, with evidence-backed human review at the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Layer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Core components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Next.js + TypeScript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Tender/bid upload, processing status, rule matrix, evidence viewer, review and audit screens.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/ Orchestration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Python FastAPI + Redis jobs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Authentication, workflows, rule APIs, connector calls and async processing.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 AI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ColPali family, Surya, Saul-7B, NLI/VLM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 retrieval, targeted extraction, tender-rule parsing and contextual inference.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Decisioning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Python + Pydantic rule engine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 numeric/date/status checks, exception logic and severity mapping.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Verification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VerificationAdapter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interface for live GST sandbox, debarment DB, and future/mock government connectors.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/ Audit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 + pgvector, object storage, audit ledger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Rules, vectors, metadata, PDFs, evidence artifacts, hashes and event history.</w:t>
            </w:r>
          </w:p>
        </w:tc>
      </w:tr>
    </w:tbl>
    <w:p>
      <w:pPr>
        <w:spacing w:after="0"/>
      </w:pPr>
    </w:p>
    <w:p>
      <w:pPr>
        <w:pStyle w:val="Heading1"/>
      </w:pPr>
      <w:r>
        <w:t>5. 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Module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Tender Manager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Tender upload, versioning and source-document storage.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Requirement Extractor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Turn clauses into machine-readable rules and exception branches.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Bidder Package Manager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Classify documents, hash them and register metadata.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 Evidence Index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Page rendering + visual retrieval for scanned/complex PDFs.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Targeted Field Extractor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Extract GSTIN, UDIN, dates, amounts, names and certificate IDs from localized regions.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VerificationAdapter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Standard contract for GST, Udyam, UDIN, BIS, debarment and future sources.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Rule + NLI Engine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Deterministic comparisons for facts; NLI for semantic/contextual clauses.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 + Audit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Explain every result with evidence, confidence, source, versions and timestamps.</w:t>
            </w:r>
          </w:p>
        </w:tc>
      </w:tr>
    </w:tbl>
    <w:p>
      <w:pPr>
        <w:spacing w:after="0"/>
      </w:pPr>
    </w:p>
    <w:p>
      <w:pPr>
        <w:pStyle w:val="Heading1"/>
      </w:pPr>
      <w:r>
        <w:t>6. AI/ML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Component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Use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Constraint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ColPali / visual retriever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Find the relevant page/patch without relying on full OCR.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Compute-heavy; precompute embeddings for the demo corpus.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Surya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Targeted OCR, layout and table extraction after retrieval.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selectively instead of full-corpus OCR.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Saul-7B / rule parser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Convert tender language into structured requirements.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Constrained JSON + schema validation.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NLI model / VLM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Entailment / Contradiction / Neutral for contextual evidence.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 not use open-ended QA as the final decision.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Python rule engine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Thresholds, arithmetic, dates, status and exceptions.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LLM/VLM never performs final arithmetic.</w:t>
            </w:r>
          </w:p>
        </w:tc>
      </w:tr>
    </w:tbl>
    <w:p>
      <w:pPr>
        <w:spacing w:after="0"/>
      </w:pPr>
    </w:p>
    <w:p>
      <w:r/>
      <w:r/>
      <w:r>
        <w:t>The attached research identifies ColPali as the strongest technical differentiator, Surya for targeted field extraction, and ContractNLI-style reasoning as the recommended framing for compliance inference. (Research report, pp. 11-13)</w:t>
      </w:r>
    </w:p>
    <w:p>
      <w:pPr>
        <w:pStyle w:val="Heading1"/>
      </w:pPr>
      <w:r>
        <w:t>7. External Verification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Source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Prototype mode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Implementation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GST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Live sandbox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REST connector + cache + retry + audit.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CPPP debarment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 DB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Normalize bidder identity and query public debarment records.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Udyam / UDIN / BIS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Mock adapters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deterministic valid/invalid/expired cases matching the expected response shape.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PAN / Income Tax / EPFO / ESIC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Mock adapters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 not attempt unrestricted production access.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MCA21 / Startup India / NSIC / Make in India / DPIIT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Mock/local fixtures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Implement only rules needed for the selected demo.</w:t>
            </w:r>
          </w:p>
        </w:tc>
      </w:tr>
    </w:tbl>
    <w:p>
      <w:pPr>
        <w:spacing w:after="0"/>
      </w:pPr>
    </w:p>
    <w:p>
      <w:r/>
      <w:r>
        <w:t>The report recommends a unified adapter pattern precisely because some listed systems are restricted or CAPTCHA/authorization protected. (Research report, pp. 6-7)</w:t>
      </w:r>
    </w:p>
    <w:p>
      <w:pPr>
        <w:pStyle w:val="Heading1"/>
      </w:pPr>
      <w:r>
        <w:t>8. Dataset Strategy</w:t>
      </w:r>
    </w:p>
    <w:p>
      <w:r>
        <w:t>For a convincing prototype, use a large synthetic benchmark generated from a smaller set of realistic tender templates. This keeps the demo deterministic while giving enough examples for meaningful precision/recall/F1 measurement.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0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Dataset unit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Target size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 tender scenarios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Bidder profiles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1,000 (10 variants per tender)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PASS bidders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Adversarial FAIL bidders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600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/ ambiguous bidders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300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Bidder documents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~5,000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Rule-level labels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20,000+</w:t>
            </w:r>
          </w:p>
        </w:tc>
      </w:tr>
      <w:tr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Verification fixtures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1,000+</w:t>
            </w:r>
          </w:p>
        </w:tc>
      </w:tr>
    </w:tbl>
    <w:p>
      <w:pPr>
        <w:spacing w:after="0"/>
      </w:pPr>
    </w:p>
    <w:p>
      <w:r>
        <w:t>Generate each tender with 10 controlled bidder variants: valid baseline, entity mismatch, threshold failure, expired certificate, altered identifier, missing mandatory evidence, local-content contradiction, exemption misuse, conflicting documents, and low-confidence/unclear cases. Keep the ground truth deterministic: expected status, evidence page, bounding box, extracted fields and API response.</w:t>
      </w:r>
    </w:p>
    <w:p>
      <w:r>
        <w:t>Recommended split: 70% train/augmentation, 15% validation, 15% held-out test; keep a separate small "golden demo" pack that judges can see live.</w:t>
      </w:r>
    </w:p>
    <w:p>
      <w:pPr>
        <w:pStyle w:val="Heading1"/>
      </w:pPr>
      <w:r>
        <w:t>9. Compliance Score and Risk</w:t>
      </w:r>
    </w:p>
    <w:p>
      <w:r>
        <w:t>Rule-level outputs should be PASS, FAIL, REVIEW or UNAVAILABLE. Score by requirement severity and evidence confidence, but never let an AI probability override a trusted deterministic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Signal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Treatment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Critical external verification failure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HIGH/CRITICAL risk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Mandatory clause contradicted by evidence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 risk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Expired / ambiguous / incomplete evidence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or MEDIUM risk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Low-confidence extraction on non-critical rule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mandatory rules pass with strong evidence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 risk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Connector unavailable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UNAVAILABLE -&gt; REVIEW, not FAIL</w:t>
            </w:r>
          </w:p>
        </w:tc>
      </w:tr>
    </w:tbl>
    <w:p>
      <w:pPr>
        <w:spacing w:after="0"/>
      </w:pPr>
    </w:p>
    <w:p>
      <w:r/>
      <w:r>
        <w:t>For numeric rules, the VLM extracts the raw value and Python performs the comparison. This avoids mathematical hallucinations and makes the result reproducible. (Research report, p. 19)</w:t>
      </w:r>
    </w:p>
    <w:p>
      <w:pPr>
        <w:pStyle w:val="Heading1"/>
      </w:pPr>
      <w:r>
        <w:t>10. Security, Explainability and Audit</w:t>
      </w:r>
    </w:p>
    <w:p>
      <w:pPr>
        <w:pStyle w:val="ListBullet"/>
        <w:spacing w:after="20"/>
      </w:pPr>
      <w:r>
        <w:t>Document integrity: SHA-3-512 hash at ingestion; store document version and hash in the audit record.</w:t>
      </w:r>
    </w:p>
    <w:p>
      <w:pPr>
        <w:pStyle w:val="ListBullet"/>
        <w:spacing w:after="20"/>
      </w:pPr>
      <w:r>
        <w:t>Evidence lineage: every rule result links to source document, page/region, extracted value, verification source, model/rule version and timestamp.</w:t>
      </w:r>
    </w:p>
    <w:p>
      <w:pPr>
        <w:pStyle w:val="ListBullet"/>
        <w:spacing w:after="20"/>
      </w:pPr>
      <w:r>
        <w:t>Human control: the system recommends and explains; the Procurement Officer approves, rejects or sends for review.</w:t>
      </w:r>
    </w:p>
    <w:p>
      <w:pPr>
        <w:pStyle w:val="ListBullet"/>
        <w:spacing w:after="20"/>
      </w:pPr>
      <w:r>
        <w:t>Operational controls: authenticated APIs, role-based access, encrypted object storage, secrets outside source code, structured logs and request IDs.</w:t>
      </w:r>
    </w:p>
    <w:p>
      <w:pPr>
        <w:pStyle w:val="Heading1"/>
      </w:pPr>
      <w:r>
        <w:t>11. Minimal Backend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Endpoint</w:t>
            </w:r>
          </w:p>
        </w:tc>
        <w:tc>
          <w:tcPr>
            <w:tcW w:type="dxa" w:w="63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/tenders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 tender + upload source PDF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/bids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 bidder document package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/verify/{bid_id}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Start verification job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/bids/{id}/rules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rule-by-rule results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/bids/{id}/evidence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evidence regions and extracted values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/bids/{id}/audit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Return complete audit trail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/review/{id}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 human decision / notes</w:t>
            </w:r>
          </w:p>
        </w:tc>
      </w:tr>
    </w:tbl>
    <w:p>
      <w:pPr>
        <w:spacing w:after="0"/>
      </w:pPr>
    </w:p>
    <w:p>
      <w:pPr>
        <w:pStyle w:val="Heading1"/>
      </w:pPr>
      <w:r>
        <w:t>12. Implementation Plan + Demo</w:t>
      </w:r>
    </w:p>
    <w:p>
      <w:pPr>
        <w:spacing w:after="20"/>
      </w:pPr>
      <w:r/>
      <w:r>
        <w:t>1. Build the ingestion, hash, database and dashboard skeleton.</w:t>
      </w:r>
    </w:p>
    <w:p>
      <w:pPr>
        <w:spacing w:after="20"/>
      </w:pPr>
      <w:r/>
      <w:r>
        <w:t>2. Implement 5-7 core rules: turnover, GST, MSME, local content, OEM authorization, debarment and document completeness.</w:t>
      </w:r>
    </w:p>
    <w:p>
      <w:pPr>
        <w:spacing w:after="20"/>
      </w:pPr>
      <w:r/>
      <w:r>
        <w:t>3. Integrate visual retrieval + targeted OCR for the golden demo pack.</w:t>
      </w:r>
    </w:p>
    <w:p>
      <w:pPr>
        <w:spacing w:after="20"/>
      </w:pPr>
      <w:r/>
      <w:r>
        <w:t>4. Add GST sandbox + local verification fixtures and deterministic scoring.</w:t>
      </w:r>
    </w:p>
    <w:p>
      <w:pPr>
        <w:spacing w:after="20"/>
      </w:pPr>
      <w:r/>
      <w:r>
        <w:t>5. Add NLI for one high-value contextual rule and expose evidence overlays.</w:t>
      </w:r>
    </w:p>
    <w:p>
      <w:pPr>
        <w:spacing w:after="20"/>
      </w:pPr>
      <w:r/>
      <w:r>
        <w:t>6. Run the benchmark, capture retrieval/field/NLI metrics, then freeze a deterministic offline backup demo.</w:t>
      </w:r>
    </w:p>
    <w:p>
      <w:r>
        <w:t>Demo story: show one tender, then compare three bidders — perfect match, subtle fraud, and ambiguous case. The strongest moment is a visually messy certificate being located first, the identifier being extracted from the localized region, verified externally/local-fixture, and the final rule shown with evidence plus an auditable decision trail.</w:t>
      </w:r>
    </w:p>
    <w:p>
      <w:pPr>
        <w:pStyle w:val="Heading1"/>
      </w:pPr>
      <w:r>
        <w:t>13. Drawbacks, Mitigations and USP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Risk / drawback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Mitigation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Compute-heavy visual retrieval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Precompute embeddings; quantize models; keep the live corpus small.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throttling / downtime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Redis cache, deduplication, backoff and deterministic fallback fixtures.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Rule extraction mistakes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Schema validation and manual rule approval during MVP.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 resolution errors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Prefer registration IDs; use normalized names only as secondary evidence.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Synthetic-data bias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Mix realistic documents with adversarial perturbations and disclose limits.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False authority from a single score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Expose provenance and confidence; preserve human review.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USP dimension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Our approach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Messy scans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 retrieval first; OCR only where needed.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Hard facts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 verification + deterministic rule engine.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Legal nuance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NLI: Entailment / Contradiction / Neutral.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Auditability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Hash + evidence box + source response + version trail.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Governance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Decision support, not autonomous disqualification.</w:t>
            </w:r>
          </w:p>
        </w:tc>
      </w:tr>
    </w:tbl>
    <w:p>
      <w:pPr>
        <w:spacing w:after="0"/>
      </w:pPr>
    </w:p>
    <w:p>
      <w:r>
        <w:t>USP statement: "We do not ask an LLM whether a bid looks compliant. We locate the evidence, verify the fact, apply the rule deterministically, and show the officer exactly why the system reached its recommendation."</w:t>
      </w:r>
    </w:p>
    <w:p>
      <w:pPr>
        <w:pStyle w:val="Heading1"/>
      </w:pPr>
      <w:r>
        <w:t>14. Recommended Stack and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Area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Choice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Next.js + TypeScript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Python FastAPI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PostgreSQL + pgvector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Cache/jobs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Redis + Celery/RQ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S3-compatible / MinIO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 rendering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PyMuPDF / Poppler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ColPali, Surya, Saul-7B, NLI/VLM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Docker Compose + optional cloud GPU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One-click tender/bid ingestion works.</w:t>
      </w:r>
    </w:p>
    <w:p>
      <w:pPr>
        <w:pStyle w:val="ListBullet"/>
        <w:spacing w:after="20"/>
      </w:pPr>
      <w:r>
        <w:t>Every document receives a hash.</w:t>
      </w:r>
    </w:p>
    <w:p>
      <w:pPr>
        <w:pStyle w:val="ListBullet"/>
        <w:spacing w:after="20"/>
      </w:pPr>
      <w:r>
        <w:t>At least one live/sandbox connector works and the rest use adapter-compatible fixtures.</w:t>
      </w:r>
    </w:p>
    <w:p>
      <w:pPr>
        <w:pStyle w:val="ListBullet"/>
        <w:spacing w:after="20"/>
      </w:pPr>
      <w:r>
        <w:t>Core rules are deterministic and test-covered.</w:t>
      </w:r>
    </w:p>
    <w:p>
      <w:pPr>
        <w:pStyle w:val="ListBullet"/>
        <w:spacing w:after="20"/>
      </w:pPr>
      <w:r>
        <w:t>Every recommendation has evidence and an audit trail.</w:t>
      </w:r>
    </w:p>
    <w:p>
      <w:pPr>
        <w:pStyle w:val="ListBullet"/>
        <w:spacing w:after="20"/>
      </w:pPr>
      <w:r>
        <w:t>Held-out benchmark reports retrieval, extraction, NLI and end-to-end latency.</w:t>
      </w:r>
    </w:p>
    <w:p>
      <w:pPr>
        <w:pStyle w:val="ListBullet"/>
        <w:spacing w:after="20"/>
      </w:pPr>
      <w:r>
        <w:t>Officer can make the final decision.</w:t>
      </w:r>
    </w:p>
    <w:p>
      <w:pPr>
        <w:pStyle w:val="Heading1"/>
      </w:pPr>
      <w:r>
        <w:t>15. Research Papers and Source Basis</w:t>
      </w:r>
    </w:p>
    <w:p>
      <w:pPr>
        <w:spacing w:after="40" w:before="0"/>
      </w:pPr>
      <w:r>
        <w:rPr>
          <w:sz w:val="19"/>
        </w:rPr>
        <w:t>The architecture is grounded in published document-retrieval, legal-NLP and multimodal-model research, supplemented by official government and API documentation. The sources below are the primary references to cite in the SIH presentation, technical report and implementation notes.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R1  </w:t>
      </w:r>
      <w:hyperlink r:id="rId11">
        <w:r>
          <w:rPr>
            <w:color w:val="0563C1"/>
            <w:u w:val="single"/>
          </w:rPr>
          <w:t>ColPali: Efficient Document Retrieval with Vision Language Models (Faysse et al., 2024)</w:t>
        </w:r>
      </w:hyperlink>
      <w:r>
        <w:rPr>
          <w:sz w:val="19"/>
        </w:rPr>
        <w:t xml:space="preserve"> — Visual page embeddings and late-interaction retrieval for visually rich documents.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R2  </w:t>
      </w:r>
      <w:hyperlink r:id="rId12">
        <w:r>
          <w:rPr>
            <w:color w:val="0563C1"/>
            <w:u w:val="single"/>
          </w:rPr>
          <w:t>ViDoRe Benchmark V2: Raising the Bar for Visual Retrieval (Macé, Loison, Faysse, 2025)</w:t>
        </w:r>
      </w:hyperlink>
      <w:r>
        <w:rPr>
          <w:sz w:val="19"/>
        </w:rPr>
        <w:t xml:space="preserve"> — Benchmark methodology for visual document retrieval and nDCG@5 evaluation.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R3  </w:t>
      </w:r>
      <w:hyperlink r:id="rId13">
        <w:r>
          <w:rPr>
            <w:color w:val="0563C1"/>
            <w:u w:val="single"/>
          </w:rPr>
          <w:t>ViDoRe V3: A Comprehensive Evaluation of RAG in Complex Real-World Scenarios (2026)</w:t>
        </w:r>
      </w:hyperlink>
      <w:r>
        <w:rPr>
          <w:sz w:val="19"/>
        </w:rPr>
        <w:t xml:space="preserve"> — Modern multimodal RAG benchmark covering grounding, localization and cross-document reasoning.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R4  </w:t>
      </w:r>
      <w:hyperlink r:id="rId14">
        <w:r>
          <w:rPr>
            <w:color w:val="0563C1"/>
            <w:u w:val="single"/>
          </w:rPr>
          <w:t>Qwen2-VL: Enhancing Vision-Language Model's Perception of the World at Any Resolution (2024)</w:t>
        </w:r>
      </w:hyperlink>
      <w:r>
        <w:rPr>
          <w:sz w:val="19"/>
        </w:rPr>
        <w:t xml:space="preserve"> — Basis for the contextual VLM/NLI stage and dynamic-resolution visual understanding.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R5  </w:t>
      </w:r>
      <w:hyperlink r:id="rId15">
        <w:r>
          <w:rPr>
            <w:color w:val="0563C1"/>
            <w:u w:val="single"/>
          </w:rPr>
          <w:t>ContractNLI: A Dataset for Document-level Natural Language Inference for Contracts (Koreeda &amp; Manning, 2021)</w:t>
        </w:r>
      </w:hyperlink>
      <w:r>
        <w:rPr>
          <w:sz w:val="19"/>
        </w:rPr>
        <w:t xml:space="preserve"> — Entailment / Contradiction / Neutral framing with evidence identification.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R6  </w:t>
      </w:r>
      <w:hyperlink r:id="rId16">
        <w:r>
          <w:rPr>
            <w:color w:val="0563C1"/>
            <w:u w:val="single"/>
          </w:rPr>
          <w:t>Pre-trained Language Models for the Legal Domain: A Case Study on Indian Law (Paul et al., 2022)</w:t>
        </w:r>
      </w:hyperlink>
      <w:r>
        <w:rPr>
          <w:sz w:val="19"/>
        </w:rPr>
        <w:t xml:space="preserve"> — Evidence for adapting Transformer-based legal NLP to Indian legal text; basis for InLegalBERT use.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R7  </w:t>
      </w:r>
      <w:hyperlink r:id="rId17">
        <w:r>
          <w:rPr>
            <w:color w:val="0563C1"/>
            <w:u w:val="single"/>
          </w:rPr>
          <w:t>LegalSeg: Unlocking the Structure of Indian Legal Judgments Through Rhetorical Role Classification (NAACL 2025)</w:t>
        </w:r>
      </w:hyperlink>
      <w:r>
        <w:rPr>
          <w:sz w:val="19"/>
        </w:rPr>
        <w:t xml:space="preserve"> — Indian legal-text segmentation and rhetorical-role structure.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R8  </w:t>
      </w:r>
      <w:hyperlink r:id="rId18">
        <w:r>
          <w:rPr>
            <w:color w:val="0563C1"/>
            <w:u w:val="single"/>
          </w:rPr>
          <w:t>SaulLM-7B: A pioneering Large Language Model for Law (2024)</w:t>
        </w:r>
      </w:hyperlink>
      <w:r>
        <w:rPr>
          <w:sz w:val="19"/>
        </w:rPr>
        <w:t xml:space="preserve"> — Legal-domain LLM used for constrained tender-rule extraction and interpretation.</w:t>
      </w:r>
    </w:p>
    <w:p>
      <w:pPr>
        <w:spacing w:after="40" w:before="0"/>
      </w:pPr>
      <w:r>
        <w:rPr>
          <w:b/>
          <w:sz w:val="19"/>
        </w:rPr>
        <w:t>Implementation / policy / data sources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S1  </w:t>
      </w:r>
      <w:hyperlink r:id="rId19">
        <w:r>
          <w:rPr>
            <w:color w:val="0563C1"/>
            <w:u w:val="single"/>
          </w:rPr>
          <w:t>SIH26100 Problem Statement</w:t>
        </w:r>
      </w:hyperlink>
      <w:r>
        <w:rPr>
          <w:sz w:val="19"/>
        </w:rPr>
        <w:t xml:space="preserve"> — Official problem scope, required portals, AI verification engine, compliance assessment and decision-support role.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S2  </w:t>
      </w:r>
      <w:hyperlink r:id="rId20">
        <w:r>
          <w:rPr>
            <w:color w:val="0563C1"/>
            <w:u w:val="single"/>
          </w:rPr>
          <w:t>Sandbox GST Public API Documentation</w:t>
        </w:r>
      </w:hyperlink>
      <w:r>
        <w:rPr>
          <w:sz w:val="19"/>
        </w:rPr>
        <w:t xml:space="preserve"> — Live prototype verification of GSTIN validity and registration details; use with authentication, caching and retry logic.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S3  </w:t>
      </w:r>
      <w:hyperlink r:id="rId21">
        <w:r>
          <w:rPr>
            <w:color w:val="0563C1"/>
            <w:u w:val="single"/>
          </w:rPr>
          <w:t>Government eProcurement System / CPPP</w:t>
        </w:r>
      </w:hyperlink>
      <w:r>
        <w:rPr>
          <w:sz w:val="19"/>
        </w:rPr>
        <w:t xml:space="preserve"> — Public tender records and debarment-list entry point for prototype data acquisition.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S4  </w:t>
      </w:r>
      <w:hyperlink r:id="rId22">
        <w:r>
          <w:rPr>
            <w:color w:val="0563C1"/>
            <w:u w:val="single"/>
          </w:rPr>
          <w:t>Udyam Registration Portal</w:t>
        </w:r>
      </w:hyperlink>
      <w:r>
        <w:rPr>
          <w:sz w:val="19"/>
        </w:rPr>
        <w:t xml:space="preserve"> — Official MSME/Udyam verification source and current classification reference.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S5  </w:t>
      </w:r>
      <w:hyperlink r:id="rId23">
        <w:r>
          <w:rPr>
            <w:color w:val="0563C1"/>
            <w:u w:val="single"/>
          </w:rPr>
          <w:t>Bureau of Indian Standards (BIS)</w:t>
        </w:r>
      </w:hyperlink>
      <w:r>
        <w:rPr>
          <w:sz w:val="19"/>
        </w:rPr>
        <w:t xml:space="preserve"> — Official product-certification and standards source; use as a future connector / controlled verification source.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S6  </w:t>
      </w:r>
      <w:hyperlink r:id="rId24">
        <w:r>
          <w:rPr>
            <w:color w:val="0563C1"/>
            <w:u w:val="single"/>
          </w:rPr>
          <w:t>NIST FIPS 202: SHA-3 Standard</w:t>
        </w:r>
      </w:hyperlink>
      <w:r>
        <w:rPr>
          <w:sz w:val="19"/>
        </w:rPr>
        <w:t xml:space="preserve"> — Cryptographic basis for document sealing and audit-log hashing.</w:t>
      </w:r>
    </w:p>
    <w:p>
      <w:pPr>
        <w:pStyle w:val="ListBullet"/>
        <w:spacing w:after="40" w:before="0"/>
      </w:pPr>
      <w:r>
        <w:rPr>
          <w:b/>
          <w:sz w:val="19"/>
        </w:rPr>
        <w:t xml:space="preserve">S7  </w:t>
      </w:r>
      <w:hyperlink r:id="rId25">
        <w:r>
          <w:rPr>
            <w:color w:val="0563C1"/>
            <w:u w:val="single"/>
          </w:rPr>
          <w:t>Open Contracting Data Standard (OCDS)</w:t>
        </w:r>
      </w:hyperlink>
      <w:r>
        <w:rPr>
          <w:sz w:val="19"/>
        </w:rPr>
        <w:t xml:space="preserve"> — Reference schema for normalizing procurement/tender records where structured data is available.</w:t>
      </w:r>
    </w:p>
    <w:p>
      <w:pPr>
        <w:spacing w:after="40" w:before="0"/>
      </w:pPr>
      <w:r>
        <w:rPr>
          <w:b/>
          <w:sz w:val="19"/>
        </w:rPr>
        <w:t xml:space="preserve">Important implementation note: </w:t>
      </w:r>
      <w:r>
        <w:rPr>
          <w:sz w:val="19"/>
        </w:rPr>
        <w:t>These references justify the architecture; they do not imply that every model or API must be used exactly as published. For the hackathon, model choice should be frozen after a small benchmark on the team's own tender and certificate data, with the production decision still under human procurement-officer control.</w:t>
      </w:r>
    </w:p>
    <w:sectPr w:rsidR="00FC693F" w:rsidRPr="0006063C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SIH26100 | Research-backed implementation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yperlink" Target="https://arxiv.org/abs/2407.01449" TargetMode="External"/><Relationship Id="rId12" Type="http://schemas.openxmlformats.org/officeDocument/2006/relationships/hyperlink" Target="https://arxiv.org/abs/2505.17166" TargetMode="External"/><Relationship Id="rId13" Type="http://schemas.openxmlformats.org/officeDocument/2006/relationships/hyperlink" Target="https://arxiv.org/abs/2601.08620" TargetMode="External"/><Relationship Id="rId14" Type="http://schemas.openxmlformats.org/officeDocument/2006/relationships/hyperlink" Target="https://arxiv.org/abs/2409.12191" TargetMode="External"/><Relationship Id="rId15" Type="http://schemas.openxmlformats.org/officeDocument/2006/relationships/hyperlink" Target="https://aclanthology.org/2021.findings-emnlp.164/" TargetMode="External"/><Relationship Id="rId16" Type="http://schemas.openxmlformats.org/officeDocument/2006/relationships/hyperlink" Target="https://arxiv.org/abs/2209.06049" TargetMode="External"/><Relationship Id="rId17" Type="http://schemas.openxmlformats.org/officeDocument/2006/relationships/hyperlink" Target="https://aclanthology.org/2025.findings-naacl.63/" TargetMode="External"/><Relationship Id="rId18" Type="http://schemas.openxmlformats.org/officeDocument/2006/relationships/hyperlink" Target="https://arxiv.org/abs/2403.03883" TargetMode="External"/><Relationship Id="rId19" Type="http://schemas.openxmlformats.org/officeDocument/2006/relationships/hyperlink" Target="https://sih2026.vuce.in/ps/SIH26100" TargetMode="External"/><Relationship Id="rId20" Type="http://schemas.openxmlformats.org/officeDocument/2006/relationships/hyperlink" Target="https://developer.sandbox.co.in/api-reference/gst/compliance/endpoints/public/verify_gstin" TargetMode="External"/><Relationship Id="rId21" Type="http://schemas.openxmlformats.org/officeDocument/2006/relationships/hyperlink" Target="https://eprocure.gov.in/eprocure/app" TargetMode="External"/><Relationship Id="rId22" Type="http://schemas.openxmlformats.org/officeDocument/2006/relationships/hyperlink" Target="https://www.udyamregistration.gov.in/" TargetMode="External"/><Relationship Id="rId23" Type="http://schemas.openxmlformats.org/officeDocument/2006/relationships/hyperlink" Target="https://www.bis.gov.in/" TargetMode="External"/><Relationship Id="rId24" Type="http://schemas.openxmlformats.org/officeDocument/2006/relationships/hyperlink" Target="https://csrc.nist.gov/pubs/fips/202/final" TargetMode="External"/><Relationship Id="rId25" Type="http://schemas.openxmlformats.org/officeDocument/2006/relationships/hyperlink" Target="https://standard.open-contracting.org/latest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Bid Compliance SIH26100 - Short Implementation Documentation</dc:title>
  <dc:subject>Concise solution blueprint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