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5FFA" w14:textId="77777777" w:rsidR="00057F16" w:rsidRDefault="00E56346">
      <w:pPr>
        <w:pStyle w:val="Title"/>
      </w:pPr>
      <w:r>
        <w:t>RISA Bot proposed UWB readiness zones</w:t>
      </w:r>
    </w:p>
    <w:p w14:paraId="7254D874" w14:textId="77777777" w:rsidR="00057F16" w:rsidRDefault="00E56346">
      <w:r>
        <w:t>This is the revised mission map using the latest annotated drawing and the tunnel photo. The tunnel walls extend outside a constant-width road. Blue shows the first pass and outer loop; orange shows the second pass and parking. All 18 checkpoint numbers are preserved.</w:t>
      </w:r>
    </w:p>
    <w:p w14:paraId="3C00C3CA" w14:textId="77777777" w:rsidR="00057F16" w:rsidRDefault="00E56346">
      <w:pPr>
        <w:pStyle w:val="Heading1"/>
      </w:pPr>
      <w:r>
        <w:t>Existing anchors retained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920"/>
      </w:tblGrid>
      <w:tr w:rsidR="00057F16" w14:paraId="60C2BE79" w14:textId="77777777">
        <w:trPr>
          <w:cantSplit/>
          <w:tblHeader/>
          <w:jc w:val="center"/>
        </w:trPr>
        <w:tc>
          <w:tcPr>
            <w:tcW w:w="1008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63FA92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Anchor</w:t>
            </w:r>
          </w:p>
        </w:tc>
        <w:tc>
          <w:tcPr>
            <w:tcW w:w="1296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9072E2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7920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93F249" w14:textId="77777777" w:rsidR="00057F16" w:rsidRDefault="00E56346"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Position in the upright drawing</w:t>
            </w:r>
          </w:p>
        </w:tc>
      </w:tr>
      <w:tr w:rsidR="00057F16" w14:paraId="4E2C249F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120DA3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A1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A1EC5A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1786</w:t>
            </w:r>
          </w:p>
        </w:tc>
        <w:tc>
          <w:tcPr>
            <w:tcW w:w="79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F4ECC6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Upper left</w:t>
            </w:r>
          </w:p>
        </w:tc>
      </w:tr>
      <w:tr w:rsidR="00057F16" w14:paraId="41A500FE" w14:textId="77777777">
        <w:trPr>
          <w:cantSplit/>
          <w:jc w:val="center"/>
        </w:trPr>
        <w:tc>
          <w:tcPr>
            <w:tcW w:w="1008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85C68D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A2</w:t>
            </w:r>
          </w:p>
        </w:tc>
        <w:tc>
          <w:tcPr>
            <w:tcW w:w="1296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1EBA15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9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D58D92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Upper right</w:t>
            </w:r>
          </w:p>
        </w:tc>
      </w:tr>
      <w:tr w:rsidR="00057F16" w14:paraId="22B229F7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23D9C6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A3</w:t>
            </w:r>
          </w:p>
        </w:tc>
        <w:tc>
          <w:tcPr>
            <w:tcW w:w="129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668866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1783</w:t>
            </w:r>
          </w:p>
        </w:tc>
        <w:tc>
          <w:tcPr>
            <w:tcW w:w="79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8B9A7A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Lower right, beside the start</w:t>
            </w:r>
          </w:p>
        </w:tc>
      </w:tr>
    </w:tbl>
    <w:p w14:paraId="2800B4EF" w14:textId="77777777" w:rsidR="00057F16" w:rsidRDefault="00057F16">
      <w:pPr>
        <w:spacing w:after="40" w:line="240" w:lineRule="auto"/>
      </w:pPr>
    </w:p>
    <w:p w14:paraId="3E2A0440" w14:textId="77777777" w:rsidR="00057F16" w:rsidRDefault="00E56346">
      <w:r>
        <w:t xml:space="preserve">These placements come from the supplied </w:t>
      </w:r>
      <w:r>
        <w:rPr>
          <w:rFonts w:ascii="Liberation Mono" w:hAnsi="Liberation Mono"/>
          <w:sz w:val="20"/>
        </w:rPr>
        <w:t>track_anchors.json</w:t>
      </w:r>
      <w:r>
        <w:t xml:space="preserve">. It says </w:t>
      </w:r>
      <w:r>
        <w:rPr>
          <w:rFonts w:ascii="Liberation Mono" w:hAnsi="Liberation Mono"/>
          <w:sz w:val="20"/>
        </w:rPr>
        <w:t>survey_confirmed: false</w:t>
      </w:r>
      <w:r>
        <w:t>; its metric coordinates and antenna heights are examples. The map retains the corresponding drawing positions. The teal dot-dash triangle shows anchor geometry, not an RF reception boundary. No anchors have been moved or added.</w:t>
      </w:r>
    </w:p>
    <w:p w14:paraId="6CF1D367" w14:textId="77777777" w:rsidR="00057F16" w:rsidRDefault="00E56346">
      <w:pPr>
        <w:pStyle w:val="Heading1"/>
      </w:pPr>
      <w:r>
        <w:t>Ten physical areas eighteen mission checkpoints</w:t>
      </w:r>
    </w:p>
    <w:p w14:paraId="1448138D" w14:textId="77777777" w:rsidR="00057F16" w:rsidRDefault="00E56346">
      <w:r>
        <w:t>Purple dashed outlines are proposed 2D readiness areas. A purple cross marks each area’s geometric centre. Centres can lie on grass or beside a road: they are references for zone membership, never steering targets. Two visits to the same area are distinguished by mission state.</w:t>
      </w:r>
    </w:p>
    <w:p w14:paraId="2C22C8BD" w14:textId="77777777" w:rsidR="00057F16" w:rsidRDefault="00E56346">
      <w:r>
        <w:t>Nominal footprints below are full width × full height in the upright plan. They are initial suggestions, rounded to 0.1 m using an approximate drawing scale of 110 pixels/m. The photographed drawing is not a metric survey, so these dimensions must be fitted to measured site coordinates before use.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84"/>
        <w:gridCol w:w="1224"/>
        <w:gridCol w:w="1512"/>
        <w:gridCol w:w="5184"/>
      </w:tblGrid>
      <w:tr w:rsidR="00057F16" w14:paraId="03D2679B" w14:textId="77777777">
        <w:trPr>
          <w:cantSplit/>
          <w:tblHeader/>
          <w:jc w:val="center"/>
        </w:trPr>
        <w:tc>
          <w:tcPr>
            <w:tcW w:w="720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7BBD32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1584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160C65" w14:textId="77777777" w:rsidR="00057F16" w:rsidRDefault="00E56346"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1224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E64161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Checkpoints</w:t>
            </w:r>
          </w:p>
        </w:tc>
        <w:tc>
          <w:tcPr>
            <w:tcW w:w="1512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66F30A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Suggested footprint</w:t>
            </w:r>
          </w:p>
        </w:tc>
        <w:tc>
          <w:tcPr>
            <w:tcW w:w="5184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86A770" w14:textId="77777777" w:rsidR="00057F16" w:rsidRDefault="00E56346"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What to prepare</w:t>
            </w:r>
          </w:p>
        </w:tc>
      </w:tr>
      <w:tr w:rsidR="00057F16" w14:paraId="4C5F2CFA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DD58C9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Z01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A3E8B0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Start / return</w:t>
            </w:r>
          </w:p>
        </w:tc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22A7B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01, 13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87FF99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1.9 × 1.3 m</w:t>
            </w:r>
          </w:p>
        </w:tc>
        <w:tc>
          <w:tcPr>
            <w:tcW w:w="51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589AB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Initial lane acquisition; on return, prepare the right turn and the second pass.</w:t>
            </w:r>
          </w:p>
        </w:tc>
      </w:tr>
      <w:tr w:rsidR="00057F16" w14:paraId="61EE397A" w14:textId="77777777">
        <w:trPr>
          <w:cantSplit/>
          <w:jc w:val="center"/>
        </w:trPr>
        <w:tc>
          <w:tcPr>
            <w:tcW w:w="7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4D5413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Z02</w:t>
            </w:r>
          </w:p>
        </w:tc>
        <w:tc>
          <w:tcPr>
            <w:tcW w:w="15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9F5444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Lane change</w:t>
            </w:r>
          </w:p>
        </w:tc>
        <w:tc>
          <w:tcPr>
            <w:tcW w:w="122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7075D2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02, 14</w:t>
            </w:r>
          </w:p>
        </w:tc>
        <w:tc>
          <w:tcPr>
            <w:tcW w:w="151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64A6D8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1.5 × 1.4 m</w:t>
            </w:r>
          </w:p>
        </w:tc>
        <w:tc>
          <w:tcPr>
            <w:tcW w:w="51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619717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lane-change perception on either approach.</w:t>
            </w:r>
          </w:p>
        </w:tc>
      </w:tr>
      <w:tr w:rsidR="00057F16" w14:paraId="40AEA1D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1FDB49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Z03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2C2A74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Roundabout</w:t>
            </w:r>
          </w:p>
        </w:tc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65810E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03, 15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14B28D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2.2 × 2.3 m</w:t>
            </w:r>
          </w:p>
        </w:tc>
        <w:tc>
          <w:tcPr>
            <w:tcW w:w="51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12BB77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roundabout perception and select the required exit.</w:t>
            </w:r>
          </w:p>
        </w:tc>
      </w:tr>
      <w:tr w:rsidR="00057F16" w14:paraId="5EB69FBA" w14:textId="77777777">
        <w:trPr>
          <w:cantSplit/>
          <w:jc w:val="center"/>
        </w:trPr>
        <w:tc>
          <w:tcPr>
            <w:tcW w:w="7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82A3C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Z04</w:t>
            </w:r>
          </w:p>
        </w:tc>
        <w:tc>
          <w:tcPr>
            <w:tcW w:w="15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D0A18A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Tunnel</w:t>
            </w:r>
          </w:p>
        </w:tc>
        <w:tc>
          <w:tcPr>
            <w:tcW w:w="122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D20C17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w="151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26A9D7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1.8 × 1.8 m</w:t>
            </w:r>
          </w:p>
        </w:tc>
        <w:tc>
          <w:tcPr>
            <w:tcW w:w="51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4E94FE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tunnel lane following before reaching the portal.</w:t>
            </w:r>
          </w:p>
        </w:tc>
      </w:tr>
      <w:tr w:rsidR="00057F16" w14:paraId="1AA27B6D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1A790A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Z05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A23FA3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Left / NW turn</w:t>
            </w:r>
          </w:p>
        </w:tc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70233C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05, 06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049888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1.3 × 2.5 m</w:t>
            </w:r>
          </w:p>
        </w:tc>
        <w:tc>
          <w:tcPr>
            <w:tcW w:w="51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5C43D1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After tunnel exit, follow the left straight and prepare the northwest right turn.</w:t>
            </w:r>
          </w:p>
        </w:tc>
      </w:tr>
      <w:tr w:rsidR="00057F16" w14:paraId="51D37E40" w14:textId="77777777">
        <w:trPr>
          <w:cantSplit/>
          <w:jc w:val="center"/>
        </w:trPr>
        <w:tc>
          <w:tcPr>
            <w:tcW w:w="7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65B78C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Z06</w:t>
            </w:r>
          </w:p>
        </w:tc>
        <w:tc>
          <w:tcPr>
            <w:tcW w:w="15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3F637A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Hill complex</w:t>
            </w:r>
          </w:p>
        </w:tc>
        <w:tc>
          <w:tcPr>
            <w:tcW w:w="122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D8359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07, 08, 09</w:t>
            </w:r>
          </w:p>
        </w:tc>
        <w:tc>
          <w:tcPr>
            <w:tcW w:w="151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B7A8D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3.2 × 1.1 m</w:t>
            </w:r>
          </w:p>
        </w:tc>
        <w:tc>
          <w:tcPr>
            <w:tcW w:w="51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E957A0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the full uphill, summit and downhill behaviour together.</w:t>
            </w:r>
          </w:p>
        </w:tc>
      </w:tr>
      <w:tr w:rsidR="00057F16" w14:paraId="027DADE1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9F3105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Z07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286981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STOP approach</w:t>
            </w:r>
          </w:p>
        </w:tc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6447CA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22E6A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1.2 × 1.2 m</w:t>
            </w:r>
          </w:p>
        </w:tc>
        <w:tc>
          <w:tcPr>
            <w:tcW w:w="51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F66496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Expect the stop sign after the descent.</w:t>
            </w:r>
          </w:p>
        </w:tc>
      </w:tr>
      <w:tr w:rsidR="00057F16" w14:paraId="3B8A423A" w14:textId="77777777">
        <w:trPr>
          <w:cantSplit/>
          <w:jc w:val="center"/>
        </w:trPr>
        <w:tc>
          <w:tcPr>
            <w:tcW w:w="7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844CFB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Z08</w:t>
            </w:r>
          </w:p>
        </w:tc>
        <w:tc>
          <w:tcPr>
            <w:tcW w:w="15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8A1486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NE / right side</w:t>
            </w:r>
          </w:p>
        </w:tc>
        <w:tc>
          <w:tcPr>
            <w:tcW w:w="122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423345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11, 12</w:t>
            </w:r>
          </w:p>
        </w:tc>
        <w:tc>
          <w:tcPr>
            <w:tcW w:w="151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B5A8B2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1.5 × 2.3 m</w:t>
            </w:r>
          </w:p>
        </w:tc>
        <w:tc>
          <w:tcPr>
            <w:tcW w:w="51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158B35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the northeast right turn, then the right-side return.</w:t>
            </w:r>
          </w:p>
        </w:tc>
      </w:tr>
      <w:tr w:rsidR="00057F16" w14:paraId="7B7CF45E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1B79F8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Z09</w:t>
            </w:r>
          </w:p>
        </w:tc>
        <w:tc>
          <w:tcPr>
            <w:tcW w:w="15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230333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Parallel park / exit</w:t>
            </w:r>
          </w:p>
        </w:tc>
        <w:tc>
          <w:tcPr>
            <w:tcW w:w="122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3E88C7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16, 17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121E8C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1.5 × 1.6 m</w:t>
            </w:r>
          </w:p>
        </w:tc>
        <w:tc>
          <w:tcPr>
            <w:tcW w:w="518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2ABC0C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parallel parking and retain task state while leaving the bay.</w:t>
            </w:r>
          </w:p>
        </w:tc>
      </w:tr>
      <w:tr w:rsidR="00057F16" w14:paraId="3049BB13" w14:textId="77777777">
        <w:trPr>
          <w:cantSplit/>
          <w:jc w:val="center"/>
        </w:trPr>
        <w:tc>
          <w:tcPr>
            <w:tcW w:w="720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B7BC74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Z10</w:t>
            </w:r>
          </w:p>
        </w:tc>
        <w:tc>
          <w:tcPr>
            <w:tcW w:w="15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C55CD2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L parking</w:t>
            </w:r>
          </w:p>
        </w:tc>
        <w:tc>
          <w:tcPr>
            <w:tcW w:w="122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86C459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1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275EEE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1.4 × 1.5 m</w:t>
            </w:r>
          </w:p>
        </w:tc>
        <w:tc>
          <w:tcPr>
            <w:tcW w:w="5184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7186B6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Prepare final L / perpendicular parking.</w:t>
            </w:r>
          </w:p>
        </w:tc>
      </w:tr>
    </w:tbl>
    <w:p w14:paraId="179AA245" w14:textId="77777777" w:rsidR="00057F16" w:rsidRDefault="00057F16">
      <w:pPr>
        <w:spacing w:after="40" w:line="240" w:lineRule="auto"/>
      </w:pPr>
    </w:p>
    <w:p w14:paraId="224FE6CB" w14:textId="77777777" w:rsidR="00057F16" w:rsidRDefault="00E56346">
      <w:pPr>
        <w:pStyle w:val="Heading1"/>
      </w:pPr>
      <w:r>
        <w:lastRenderedPageBreak/>
        <w:t>How anchor placement changes the design</w:t>
      </w:r>
    </w:p>
    <w:p w14:paraId="6E55B649" w14:textId="77777777" w:rsidR="00057F16" w:rsidRDefault="00E56346">
      <w:r>
        <w:t xml:space="preserve">The tunnel, roundabout and much of the lower/left route lie outside the drawn A1–A2–A3 triangle. This does not establish a blind spot or prove a particular error, but it is a reason to measure performance there rather than assume uniform 10 cm XY accuracy. Anchor geometry and obstructed paths influence UWB positioning quality; published work demonstrates these effects, although that study uses TDoA rather than this kit’s ranging implementation. </w:t>
      </w:r>
      <w:hyperlink r:id="rId6">
        <w:r>
          <w:rPr>
            <w:color w:val="0563C1"/>
            <w:u w:val="single"/>
          </w:rPr>
          <w:t>Zhao et al., 2022</w:t>
        </w:r>
      </w:hyperlink>
      <w:r>
        <w:t>.</w:t>
      </w:r>
    </w:p>
    <w:p w14:paraId="693F05BA" w14:textId="77777777" w:rsidR="00057F16" w:rsidRDefault="00E56346">
      <w:r>
        <w:t>Accordingly, Z03 and Z04 are broad areas with early preparation and latched behaviour. Prepare tunnel mode during the first roundabout exit. Inside the tunnel, local lane sensing and odometry confirm progress; UWB can support readiness when valid. These zone choices are a design proposal, not a measured coverage analysis. Do not simply enlarge zones indefinitely to compensate for bad ranges.</w:t>
      </w:r>
    </w:p>
    <w:p w14:paraId="31CBB079" w14:textId="77777777" w:rsidR="00057F16" w:rsidRDefault="00E56346">
      <w:r>
        <w:t>The hill needs special treatment: the supplied estimator assumes a fixed tag height of 0.35 m. On a ramp, the antenna’s height above the floor changes, so that flat-floor assumption can distort XY. Z06 therefore covers the whole hill. Identify uphill / summit / downhill using IMU pitch, vision and odometry; review the height model before trusting hill UWB fixes.</w:t>
      </w:r>
    </w:p>
    <w:p w14:paraId="6E3DEE1E" w14:textId="77777777" w:rsidR="00057F16" w:rsidRDefault="00E56346">
      <w:pPr>
        <w:pStyle w:val="Heading1"/>
      </w:pPr>
      <w:r>
        <w:t>Suggested trigger behaviour</w:t>
      </w:r>
    </w:p>
    <w:p w14:paraId="58E4DEC5" w14:textId="77777777" w:rsidR="00057F16" w:rsidRDefault="00E56346">
      <w:pPr>
        <w:pStyle w:val="ListNumber"/>
      </w:pPr>
      <w:r>
        <w:rPr>
          <w:b/>
        </w:rPr>
        <w:t>Use 10 cm as a working error estimate, not a guaranteed bound.</w:t>
      </w:r>
      <w:r>
        <w:t xml:space="preserve"> Zone footprints are deliberately much wider than 10 cm. Measure actual XY error, latency and dropout near each task, including the tunnel and hill.</w:t>
      </w:r>
    </w:p>
    <w:p w14:paraId="5F431EBB" w14:textId="77777777" w:rsidR="00057F16" w:rsidRDefault="00E56346">
      <w:pPr>
        <w:pStyle w:val="ListNumber"/>
      </w:pPr>
      <w:r>
        <w:rPr>
          <w:b/>
        </w:rPr>
        <w:t>Enable only the expected next area.</w:t>
      </w:r>
      <w:r>
        <w:t xml:space="preserve"> Overlapping zones must not select a task by nearest centre. Z01 is reused for start/return, Z02 for two lane changes, and Z03 for two roundabout exits.</w:t>
      </w:r>
    </w:p>
    <w:p w14:paraId="2CFECCBE" w14:textId="77777777" w:rsidR="00057F16" w:rsidRDefault="00E56346">
      <w:pPr>
        <w:pStyle w:val="ListNumber"/>
      </w:pPr>
      <w:r>
        <w:rPr>
          <w:b/>
        </w:rPr>
        <w:t>Enter once, then latch.</w:t>
      </w:r>
      <w:r>
        <w:t xml:space="preserve"> As an initial bench setting, require about 0.2 s of fresh, consistent position observations before arming. Give the exit boundary an additional 0.2 m outward margin to reduce repeated entry/exit toggles. These are tuning suggestions; they do not guarantee rejection of a 10 cm error distribution.</w:t>
      </w:r>
    </w:p>
    <w:p w14:paraId="46016293" w14:textId="77777777" w:rsidR="00057F16" w:rsidRDefault="00E56346">
      <w:pPr>
        <w:pStyle w:val="ListNumber"/>
      </w:pPr>
      <w:r>
        <w:rPr>
          <w:b/>
        </w:rPr>
        <w:t>Keep sufficient lead distance.</w:t>
      </w:r>
      <w:r>
        <w:t xml:space="preserve"> Along the incoming route, allow at least speed × (preparation time + observation dwell + position age) plus measured along-track error margin before the task. Adjust the zone’s approach side for actual speed; the illustrated ellipses are starting shapes. Stop detection and braking have their own stopping-distance requirement.</w:t>
      </w:r>
    </w:p>
    <w:p w14:paraId="3E2F7B2B" w14:textId="77777777" w:rsidR="00057F16" w:rsidRDefault="00E56346">
      <w:pPr>
        <w:pStyle w:val="ListNumber"/>
      </w:pPr>
      <w:r>
        <w:rPr>
          <w:b/>
        </w:rPr>
        <w:t>Confirm actions using onboard sensing.</w:t>
      </w:r>
      <w:r>
        <w:t xml:space="preserve"> A zone arms the behaviour; lane, sign, pitch and parking observations control execution and completion. Broad areas cannot resolve exact stop lines or parking poses.</w:t>
      </w:r>
    </w:p>
    <w:p w14:paraId="3E94EB53" w14:textId="77777777" w:rsidR="00057F16" w:rsidRDefault="00E56346">
      <w:pPr>
        <w:pStyle w:val="ListNumber"/>
      </w:pPr>
      <w:r>
        <w:rPr>
          <w:b/>
        </w:rPr>
        <w:t>Handle invalid fixes explicitly.</w:t>
      </w:r>
      <w:r>
        <w:t xml:space="preserve"> With the current three-anchor package, a missing required anchor invalidates the UWB fix. Do not advance from stale coordinates or interpret disappearing UWB as an exit. Retain mission context and rely on valid local sensing; pause motion if that is also insufficient.</w:t>
      </w:r>
    </w:p>
    <w:p w14:paraId="7214ACA9" w14:textId="77777777" w:rsidR="00057F16" w:rsidRDefault="00E56346">
      <w:pPr>
        <w:pStyle w:val="ListNumber"/>
      </w:pPr>
      <w:r>
        <w:rPr>
          <w:b/>
        </w:rPr>
        <w:t>Reset repeated areas by mission progress.</w:t>
      </w:r>
      <w:r>
        <w:t xml:space="preserve"> Do not re-arm the first-pass task when jitter re-enters a boundary. Second-pass permissions begin only after the outer loop completes.</w:t>
      </w:r>
    </w:p>
    <w:p w14:paraId="1E30C39C" w14:textId="77777777" w:rsidR="00057F16" w:rsidRDefault="00E56346">
      <w:pPr>
        <w:pStyle w:val="Heading1"/>
        <w:pageBreakBefore/>
      </w:pPr>
      <w:r>
        <w:lastRenderedPageBreak/>
        <w:t>Checkpoint specific completion conditions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9432"/>
      </w:tblGrid>
      <w:tr w:rsidR="00057F16" w14:paraId="35001B0A" w14:textId="77777777">
        <w:trPr>
          <w:cantSplit/>
          <w:tblHeader/>
          <w:jc w:val="center"/>
        </w:trPr>
        <w:tc>
          <w:tcPr>
            <w:tcW w:w="792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CD0705" w14:textId="77777777" w:rsidR="00057F16" w:rsidRDefault="00E56346">
            <w:pPr>
              <w:keepNext/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9432" w:type="dxa"/>
            <w:shd w:val="clear" w:color="auto" w:fill="17354B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93325F" w14:textId="77777777" w:rsidR="00057F16" w:rsidRDefault="00E56346">
            <w:pPr>
              <w:keepNext/>
              <w:spacing w:after="0" w:line="247" w:lineRule="auto"/>
            </w:pPr>
            <w:r>
              <w:rPr>
                <w:b/>
                <w:color w:val="FFFFFF"/>
                <w:sz w:val="20"/>
              </w:rPr>
              <w:t>State / confirmation rule</w:t>
            </w:r>
          </w:p>
        </w:tc>
      </w:tr>
      <w:tr w:rsidR="00057F16" w14:paraId="692EC861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1A0EC5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Z01</w:t>
            </w:r>
          </w:p>
        </w:tc>
        <w:tc>
          <w:tcPr>
            <w:tcW w:w="94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B587FC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Mission start enables CP01. Only completion of CP12 enables CP13; proximity to A3 is not a start/reset signal.</w:t>
            </w:r>
          </w:p>
        </w:tc>
      </w:tr>
      <w:tr w:rsidR="00057F16" w14:paraId="4586A41D" w14:textId="77777777">
        <w:trPr>
          <w:cantSplit/>
          <w:jc w:val="center"/>
        </w:trPr>
        <w:tc>
          <w:tcPr>
            <w:tcW w:w="79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CA186A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Z02</w:t>
            </w:r>
          </w:p>
        </w:tc>
        <w:tc>
          <w:tcPr>
            <w:tcW w:w="943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1778EA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Use first-pass / second-pass state. Camera/lane evidence determines the actual lane-change action.</w:t>
            </w:r>
          </w:p>
        </w:tc>
      </w:tr>
      <w:tr w:rsidR="00057F16" w14:paraId="053D6BDF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52D715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Z03</w:t>
            </w:r>
          </w:p>
        </w:tc>
        <w:tc>
          <w:tcPr>
            <w:tcW w:w="94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1225B5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First visit: west/tunnel exit. Second visit: north/parking exit. Keep the selected exit latched until visually/odometrically confirmed.</w:t>
            </w:r>
          </w:p>
        </w:tc>
      </w:tr>
      <w:tr w:rsidR="00057F16" w14:paraId="1F006405" w14:textId="77777777">
        <w:trPr>
          <w:cantSplit/>
          <w:jc w:val="center"/>
        </w:trPr>
        <w:tc>
          <w:tcPr>
            <w:tcW w:w="79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5FF8B2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Z04</w:t>
            </w:r>
          </w:p>
        </w:tc>
        <w:tc>
          <w:tcPr>
            <w:tcW w:w="943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D47E5C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Pre-arm while leaving Z03 on the first visit. Keep behaviour active through the bend; a lost UWB fix is not a tunnel-exit event.</w:t>
            </w:r>
          </w:p>
        </w:tc>
      </w:tr>
      <w:tr w:rsidR="00057F16" w14:paraId="42C6B3CA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09CA1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Z05</w:t>
            </w:r>
          </w:p>
        </w:tc>
        <w:tc>
          <w:tcPr>
            <w:tcW w:w="94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99B522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Confirm tunnel exit and corner visually; preserve mission order when zone boundaries overlap.</w:t>
            </w:r>
          </w:p>
        </w:tc>
      </w:tr>
      <w:tr w:rsidR="00057F16" w14:paraId="77D2852D" w14:textId="77777777">
        <w:trPr>
          <w:cantSplit/>
          <w:jc w:val="center"/>
        </w:trPr>
        <w:tc>
          <w:tcPr>
            <w:tcW w:w="79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EC2F70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Z06</w:t>
            </w:r>
          </w:p>
        </w:tc>
        <w:tc>
          <w:tcPr>
            <w:tcW w:w="943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E4BA7A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Use pitch, vision and odometry for the three phases. Pre-arm stop-sign detection before descent; do not wait for Z07.</w:t>
            </w:r>
          </w:p>
        </w:tc>
      </w:tr>
      <w:tr w:rsidR="00057F16" w14:paraId="1FF03924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4C0BA7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Z07</w:t>
            </w:r>
          </w:p>
        </w:tc>
        <w:tc>
          <w:tcPr>
            <w:tcW w:w="94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67ECB2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STOP position is provisional. Vision and speed/slope-aware braking determine stopping, not crossing the zone boundary.</w:t>
            </w:r>
          </w:p>
        </w:tc>
      </w:tr>
      <w:tr w:rsidR="00057F16" w14:paraId="69E326C6" w14:textId="77777777">
        <w:trPr>
          <w:cantSplit/>
          <w:jc w:val="center"/>
        </w:trPr>
        <w:tc>
          <w:tcPr>
            <w:tcW w:w="79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CCD0B3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Z08</w:t>
            </w:r>
          </w:p>
        </w:tc>
        <w:tc>
          <w:tcPr>
            <w:tcW w:w="943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6F4CD4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Arm only after the stop task completes; local sensing confirms the corner and straight.</w:t>
            </w:r>
          </w:p>
        </w:tc>
      </w:tr>
      <w:tr w:rsidR="00057F16" w14:paraId="40358389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5357E4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Z09</w:t>
            </w:r>
          </w:p>
        </w:tc>
        <w:tc>
          <w:tcPr>
            <w:tcW w:w="9432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5F971F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Enable only after the second roundabout visit. Parking success must be confirmed before CP17 can advance to final parking.</w:t>
            </w:r>
          </w:p>
        </w:tc>
      </w:tr>
      <w:tr w:rsidR="00057F16" w14:paraId="60E38E3C" w14:textId="77777777">
        <w:trPr>
          <w:cantSplit/>
          <w:jc w:val="center"/>
        </w:trPr>
        <w:tc>
          <w:tcPr>
            <w:tcW w:w="79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040199" w14:textId="77777777" w:rsidR="00057F16" w:rsidRDefault="00E56346">
            <w:pPr>
              <w:spacing w:after="0" w:line="247" w:lineRule="auto"/>
              <w:jc w:val="center"/>
            </w:pPr>
            <w:r>
              <w:rPr>
                <w:sz w:val="20"/>
              </w:rPr>
              <w:t>Z10</w:t>
            </w:r>
          </w:p>
        </w:tc>
        <w:tc>
          <w:tcPr>
            <w:tcW w:w="9432" w:type="dxa"/>
            <w:shd w:val="clear" w:color="auto" w:fill="F2F5F7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BE3AD4" w14:textId="77777777" w:rsidR="00057F16" w:rsidRDefault="00E56346">
            <w:pPr>
              <w:spacing w:after="0" w:line="247" w:lineRule="auto"/>
            </w:pPr>
            <w:r>
              <w:rPr>
                <w:sz w:val="20"/>
              </w:rPr>
              <w:t>Enable only after parallel parking succeeds and the bay is exited. Local sensing determines final pose and completion.</w:t>
            </w:r>
          </w:p>
        </w:tc>
      </w:tr>
    </w:tbl>
    <w:p w14:paraId="14D48EFB" w14:textId="77777777" w:rsidR="00057F16" w:rsidRDefault="00057F16">
      <w:pPr>
        <w:spacing w:after="40" w:line="240" w:lineRule="auto"/>
      </w:pPr>
    </w:p>
    <w:p w14:paraId="397DFE56" w14:textId="77777777" w:rsidR="00057F16" w:rsidRDefault="00E56346">
      <w:pPr>
        <w:pStyle w:val="Heading1"/>
      </w:pPr>
      <w:r>
        <w:t>Geometry and files</w:t>
      </w:r>
    </w:p>
    <w:p w14:paraId="31930A33" w14:textId="77777777" w:rsidR="00057F16" w:rsidRDefault="00E56346">
      <w:r>
        <w:t>The route and drawing outlines are reproducible vector geometry. The tunnel road uses concentric radii 60 and 120 in drawing pixels; wall strips extend to radii 48 and 132. Both the isometric view and plan view use the same corrected floor outline. The ramp alone raises the illustrated road; the tunnel does not.</w:t>
      </w:r>
    </w:p>
    <w:p w14:paraId="70FB2203" w14:textId="77777777" w:rsidR="00057F16" w:rsidRDefault="00E56346">
      <w:r>
        <w:rPr>
          <w:rFonts w:ascii="Liberation Mono" w:hAnsi="Liberation Mono"/>
          <w:sz w:val="20"/>
        </w:rPr>
        <w:t>trace_geometry.json</w:t>
      </w:r>
      <w:r>
        <w:t xml:space="preserve"> stores drawing-pixel centres and outlines for reproduction, with explicit non-survey flags. It is not a ROS navigation map or a deployable geofence configuration. </w:t>
      </w:r>
      <w:r>
        <w:rPr>
          <w:rFonts w:ascii="Liberation Mono" w:hAnsi="Liberation Mono"/>
          <w:sz w:val="20"/>
        </w:rPr>
        <w:t>geometry_checks.json</w:t>
      </w:r>
      <w:r>
        <w:t xml:space="preserve"> records route containment and coverage of all 18 checkpoints by their assigned areas. Exact STOP location and structure heights remain provisional.</w:t>
      </w:r>
    </w:p>
    <w:sectPr w:rsidR="00057F1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121311">
    <w:abstractNumId w:val="8"/>
  </w:num>
  <w:num w:numId="2" w16cid:durableId="1888451199">
    <w:abstractNumId w:val="6"/>
  </w:num>
  <w:num w:numId="3" w16cid:durableId="469595570">
    <w:abstractNumId w:val="5"/>
  </w:num>
  <w:num w:numId="4" w16cid:durableId="55054933">
    <w:abstractNumId w:val="4"/>
  </w:num>
  <w:num w:numId="5" w16cid:durableId="756361473">
    <w:abstractNumId w:val="7"/>
  </w:num>
  <w:num w:numId="6" w16cid:durableId="287204696">
    <w:abstractNumId w:val="3"/>
  </w:num>
  <w:num w:numId="7" w16cid:durableId="495072393">
    <w:abstractNumId w:val="2"/>
  </w:num>
  <w:num w:numId="8" w16cid:durableId="1436368041">
    <w:abstractNumId w:val="1"/>
  </w:num>
  <w:num w:numId="9" w16cid:durableId="97880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F16"/>
    <w:rsid w:val="0006063C"/>
    <w:rsid w:val="0015074B"/>
    <w:rsid w:val="0029639D"/>
    <w:rsid w:val="00326F90"/>
    <w:rsid w:val="006E54F2"/>
    <w:rsid w:val="00AA1D8D"/>
    <w:rsid w:val="00B47730"/>
    <w:rsid w:val="00CB0664"/>
    <w:rsid w:val="00E56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AFDB7"/>
  <w14:defaultImageDpi w14:val="300"/>
  <w15:docId w15:val="{CA53154D-F3EC-D845-B5BB-1A74F345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arxiv.org/abs/2204.04508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RISA Bot proposed UWB readiness zones</dc:title>
  <dc:subject>Three anchors and one tag mission readiness guide</dc:subject>
  <dc:creator/>
  <cp:keywords>RISA Bot, UWB, mission zones, checkpoints</cp:keywords>
  <dc:description>generated by python-docx</dc:description>
  <cp:lastModifiedBy>M Syaifuddin B Mohd (FoE/UTP)</cp:lastModifiedBy>
  <cp:revision>2</cp:revision>
  <dcterms:created xsi:type="dcterms:W3CDTF">2026-09-14T12:52:00Z</dcterms:created>
  <dcterms:modified xsi:type="dcterms:W3CDTF">2026-09-14T12:52:00Z</dcterms:modified>
  <cp:category/>
</cp:coreProperties>
</file>