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Arora Traders: Supplier Blindspot Resolution</w:t>
      </w:r>
    </w:p>
    <w:p>
      <w:pPr>
        <w:jc w:val="center"/>
      </w:pPr>
      <w:r>
        <w:rPr>
          <w:i/>
          <w:color w:val="595959"/>
          <w:sz w:val="28"/>
        </w:rPr>
        <w:t>Analytical Framework, Technical Solution, and Strategic Assumptions</w:t>
      </w:r>
    </w:p>
    <w:p>
      <w:r>
        <w:br/>
      </w:r>
    </w:p>
    <w:p>
      <w:pPr>
        <w:pStyle w:val="Heading1"/>
      </w:pPr>
      <w:r>
        <w:rPr>
          <w:rFonts w:ascii="Calibri" w:hAnsi="Calibri"/>
          <w:color w:val="1F3864"/>
        </w:rPr>
        <w:t>1. Executive Summary &amp; Approach</w:t>
      </w:r>
    </w:p>
    <w:p>
      <w:r>
        <w:t>The objective was to identify the root cause of financial leakages and supply chain inefficiencies ("The Supplier Blindspot") among 34 suppliers for Arora Traders over a 3-year period covering 4,800 POs.</w:t>
        <w:br/>
        <w:br/>
        <w:t xml:space="preserve">Our approach utilized a </w:t>
      </w:r>
      <w:r>
        <w:rPr>
          <w:b/>
        </w:rPr>
        <w:t>Multi-Stage Data Pipeline:</w:t>
      </w:r>
    </w:p>
    <w:p>
      <w:pPr>
        <w:pStyle w:val="ListBullet"/>
      </w:pPr>
      <w:r>
        <w:rPr>
          <w:b/>
        </w:rPr>
        <w:t xml:space="preserve">Attribution &amp; Unification: </w:t>
      </w:r>
      <w:r>
        <w:t>Mapped off-master POs to their correct supplier taxonomy using algorithmic matching on names and categorizations.</w:t>
      </w:r>
    </w:p>
    <w:p>
      <w:pPr>
        <w:pStyle w:val="ListBullet"/>
      </w:pPr>
      <w:r>
        <w:rPr>
          <w:b/>
        </w:rPr>
        <w:t xml:space="preserve">Financial Impact Modeling: </w:t>
      </w:r>
      <w:r>
        <w:t>Transitioned from vague operational metrics to hard financial losses (A*+B+C+D Framework):</w:t>
      </w:r>
    </w:p>
    <w:p>
      <w:pPr>
        <w:pStyle w:val="ListBullet2"/>
      </w:pPr>
      <w:r>
        <w:t>• A*: Excess Billing Gap (invoice quantities &gt; received quantities)</w:t>
      </w:r>
    </w:p>
    <w:p>
      <w:pPr>
        <w:pStyle w:val="ListBullet2"/>
      </w:pPr>
      <w:r>
        <w:t>• B: Rejection Losses (material billed in full but rejected)</w:t>
      </w:r>
    </w:p>
    <w:p>
      <w:pPr>
        <w:pStyle w:val="ListBullet2"/>
      </w:pPr>
      <w:r>
        <w:t>• C: Confirmed Returns Traced</w:t>
      </w:r>
    </w:p>
    <w:p>
      <w:pPr>
        <w:pStyle w:val="ListBullet2"/>
      </w:pPr>
      <w:r>
        <w:t>• D: Inferred Returns (probabilistic allocation for untraced returns)</w:t>
      </w:r>
    </w:p>
    <w:p>
      <w:pPr>
        <w:pStyle w:val="ListBullet"/>
      </w:pPr>
      <w:r>
        <w:rPr>
          <w:b/>
        </w:rPr>
        <w:t xml:space="preserve">Composite Scoring Engine: </w:t>
      </w:r>
      <w:r>
        <w:t>Developed a weighted scoring algorithm to rank suppliers objectively based on delivery compliance, quality, and pricing deviations.</w:t>
      </w:r>
    </w:p>
    <w:p>
      <w:pPr>
        <w:pStyle w:val="Heading1"/>
      </w:pPr>
      <w:r>
        <w:rPr>
          <w:rFonts w:ascii="Calibri" w:hAnsi="Calibri"/>
          <w:color w:val="1F3864"/>
        </w:rPr>
        <w:t>2. The Technical Solution</w:t>
      </w:r>
    </w:p>
    <w:p>
      <w:pPr>
        <w:pStyle w:val="ListBullet"/>
      </w:pPr>
      <w:r>
        <w:rPr>
          <w:b/>
        </w:rPr>
        <w:t xml:space="preserve">Data Engineering Pipeline: </w:t>
      </w:r>
      <w:r>
        <w:t>Built modular Python scripts to clean, merge, and evaluate the underlying POs, receipts, and market panel rates, segmenting suppliers into POOR, WATCH, and ACCEPTABLE tiers.</w:t>
      </w:r>
    </w:p>
    <w:p>
      <w:pPr>
        <w:pStyle w:val="ListBullet"/>
      </w:pPr>
      <w:r>
        <w:rPr>
          <w:b/>
        </w:rPr>
        <w:t xml:space="preserve">Interactive Web Dashboard: </w:t>
      </w:r>
      <w:r>
        <w:t>Developed a fully interactive HTML/JS dashboard tracking KPIs, loss composition, and supplier scorecards. Hosted directly on Vercel, it allows stakeholders to visualize the data dynamically.</w:t>
      </w:r>
    </w:p>
    <w:p>
      <w:pPr>
        <w:pStyle w:val="ListBullet"/>
      </w:pPr>
      <w:r>
        <w:rPr>
          <w:b/>
        </w:rPr>
        <w:t xml:space="preserve">Automated Negotiation Briefs: </w:t>
      </w:r>
      <w:r>
        <w:t>Auto-generated printable strategic briefs for the bottom 5 suppliers, outlining their exact financial leakage and the required action plans.</w:t>
      </w:r>
    </w:p>
    <w:p>
      <w:pPr>
        <w:pStyle w:val="Heading1"/>
      </w:pPr>
      <w:r>
        <w:rPr>
          <w:rFonts w:ascii="Calibri" w:hAnsi="Calibri"/>
          <w:color w:val="1F3864"/>
        </w:rPr>
        <w:t>3. Key Assumptions &amp; Constraints</w:t>
      </w:r>
    </w:p>
    <w:p>
      <w:pPr>
        <w:pStyle w:val="ListNumber"/>
      </w:pPr>
      <w:r>
        <w:rPr>
          <w:b/>
        </w:rPr>
        <w:t xml:space="preserve">Inferred Returns Distribution: </w:t>
      </w:r>
      <w:r>
        <w:t>Untraced returns were probabilistically distributed among suppliers based on their historical failure rates (rejections/short deliveries) rather than assuming equal blame across the board.</w:t>
      </w:r>
    </w:p>
    <w:p>
      <w:pPr>
        <w:pStyle w:val="ListNumber"/>
      </w:pPr>
      <w:r>
        <w:rPr>
          <w:b/>
        </w:rPr>
        <w:t xml:space="preserve">Market Rate Baseline: </w:t>
      </w:r>
      <w:r>
        <w:t>The "Panel Ideal" was established by aggregating the top quartile of supplier pricing, assuming this baseline represents the fair market value for comparative cost-analysis.</w:t>
      </w:r>
    </w:p>
    <w:p>
      <w:pPr>
        <w:pStyle w:val="ListNumber"/>
      </w:pPr>
      <w:r>
        <w:rPr>
          <w:b/>
        </w:rPr>
        <w:t xml:space="preserve">Cost of Capital Exclusions: </w:t>
      </w:r>
      <w:r>
        <w:t>While late deliveries disrupt operations, direct financial penalties for delays were excluded from the Headline Loss calculation unless explicitly stipulated by SLAs. The financial model focuses strictly on direct cash-loss (shorting, rejecting).</w:t>
      </w:r>
    </w:p>
    <w:p>
      <w:pPr>
        <w:pStyle w:val="Heading1"/>
      </w:pPr>
      <w:r>
        <w:rPr>
          <w:rFonts w:ascii="Calibri" w:hAnsi="Calibri"/>
          <w:color w:val="1F3864"/>
        </w:rPr>
        <w:t>4. Out-of-the-Box Problem Solving Approach</w:t>
      </w:r>
    </w:p>
    <w:p>
      <w:pPr>
        <w:pStyle w:val="ListBullet"/>
      </w:pPr>
      <w:r>
        <w:rPr>
          <w:b/>
        </w:rPr>
        <w:t xml:space="preserve">Probabilistic Financial Attribution (Inferred Returns): </w:t>
      </w:r>
      <w:r>
        <w:t>Instead of ignoring untraced returns or writing them off as a general business loss, we pioneered a probabilistic model. We assigned the financial penalty of untraced returns back to specific suppliers based on their historical quality failure rates. This ensures accountability even when direct traceability is broken.</w:t>
      </w:r>
    </w:p>
    <w:p>
      <w:pPr>
        <w:pStyle w:val="ListBullet"/>
      </w:pPr>
      <w:r>
        <w:rPr>
          <w:b/>
        </w:rPr>
        <w:t xml:space="preserve">Translating Operations to Unified Rupee Impact: </w:t>
      </w:r>
      <w:r>
        <w:t>Traditional dashboards stop at operational metrics (e.g., "Supplier X is 5 days late"). We took the out-of-the-box approach of converting every operational failure—short deliveries, rejections, and pricing gaps—into a single, unified currency: "Headline Rupee Loss." This allows executives to instantly prioritize interventions based on absolute financial impact.</w:t>
      </w:r>
    </w:p>
    <w:p>
      <w:pPr>
        <w:pStyle w:val="ListBullet"/>
      </w:pPr>
      <w:r>
        <w:rPr>
          <w:b/>
        </w:rPr>
        <w:t xml:space="preserve">Bridging Data and Execution (Negotiation Briefs): </w:t>
      </w:r>
      <w:r>
        <w:t>Rather than just presenting a dashboard of numbers, the solution extends directly into business execution. By automatically generating structured "Negotiation Briefs," we empower procurement managers with exact negotiation scripts and corrective action plans tailored to each underperforming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