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Implementation Plan and Status: The Supplier Blindspot</w:t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PS 4 - Arora Traders, Pune | 34 suppliers | 4,800 POs, 3 years | status: build in progress</w:t>
      </w:r>
    </w:p>
    <w:p>
      <w:pPr>
        <w:pStyle w:val="Heading1"/>
      </w:pPr>
      <w:r>
        <w:t xml:space="preserve">1. Status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226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1: Data foundation (D1)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pipeline.py, po_fact_table.csv, data_quality_log.csv (30 checks, all pass)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2: Returns attribution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phase2_attribution.py, returns_attributed.csv, returns_inferred_valued.csv, attribution_validation.csv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3: Scorecard (D2)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phase3_scorecard.py, supplier_scorecard.csv, category_scorecard.csv, scorecard_sensitivity.csv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4: Rupee impact (D3)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phase4_rupee_impact.py, supplier_rupee_impact_v2.csv, returns_confirmed_valued.csv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Excel evidence workbook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Supplier_Evidence_Workbook.xlsx (about 50,000 live formulas, 0 errors)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5: Negotiation briefs (D4)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TO DO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full briefs + 2 watch-list one-pagers (Word)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6: Replacement recommendation (D5)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TO DO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Replacement_Recommendation.docx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Methodology note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TO DO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Methodology_Note.docx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Workbook additions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PARTLY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Reconciliation sheet and late-delivery proxy calculation still to add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Implementation plan refresh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This document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Deliverable coverage: D1, D2 and D3 are complete. D4 and D5 remain, and both draw on numbers that are already built and cross-checked.</w:t>
      </w:r>
    </w:p>
    <w:p>
      <w:pPr>
        <w:pStyle w:val="Heading1"/>
      </w:pPr>
      <w:r>
        <w:t xml:space="preserve">2. Decisions locked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supplier_master is the source of truth for the categories a supplier carries. Every PO is still scored; in-master POs are tagged so thin evidence is visible.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 both the full billing gap and the excess over the panel baseline (0.511%, the median supplier). Negotiation asks use the excess.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 is compared with the panel average for the same material and year, and with the market index where it covers the material.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Rejections are part of received quantity and are billed, so they count as a loss. Returns are capped per batch so nothing is counted twice.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main output is a Word negotiation brief, with an Excel evidence workbook behind it.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 weight cut to 10% in the scorecard (from 25%) because no supplier shows a statistically significant premium. Price is also excluded from the headline rupee loss.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8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Briefs: 3 full briefs (VS12, VS19, VS03) plus 2 watch-list one-pagers (VS16, VS17), because only three suppliers are genuinely poor.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3. What has been implemented</w:t>
      </w:r>
    </w:p>
    <w:p>
      <w:pPr>
        <w:pStyle w:val="Heading2"/>
      </w:pPr>
      <w:r>
        <w:t xml:space="preserve">Phase 1: Data foundation (D1)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Loaded the six files and ran 30 integrity checks: unique keys, PO to receipt to payment joins (all 1:1), date order, received not above ordered, rejection not above received, billing equals ordered quantity x quoted price. All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4,800-row PO fact table: short quantity, days late, billing gap, baseline and excess gap, rejection value, price vs panel and vs index, in-master tag, Arora's payment lateness.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Parsed the master category list into a supplier x category 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Findings logged: data is clean (no duplicates, nulls or unit mix-ups); 87% of POs are for materials outside the supplier's master categories; the market index covers 6 of 18 materials and PO prices sit about 13.5% above it.</w:t>
      </w:r>
    </w:p>
    <w:p>
      <w:pPr>
        <w:pStyle w:val="Heading2"/>
      </w:pPr>
      <w:r>
        <w:t xml:space="preserve">Phase 2: Returns attribution (35% of the judging weight)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Model: Bayesian, supplier return rate x volume, times material and quantity likelihoods. The high-return-rate group is learned from the data, not from the underperformer flag.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Validation: 5 repeats of 5-fold cross-validation on the 240 known returns, with seven model variants compared as an ablation.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Results: top-1 accuracy 22% and top-3 55%, against 4% / 22% for 'latest receipt wins'. Aggregate counts recovered closely (VS12: about 51 expected vs 54 actual).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proximity tested and rejected: median lag 84 days for the true supplier vs 79 for others (p = 0.83), and adding it makes the model worse.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Inferred returns valued as probability-weighted expected rupees, with an 80% range from 4,000 simulated assignments.</w:t>
      </w:r>
    </w:p>
    <w:p>
      <w:pPr>
        <w:pStyle w:val="Heading2"/>
      </w:pPr>
      <w:r>
        <w:t xml:space="preserve">Phase 3: Scorecard (D2)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34-supplier scorecard: short delivery %, late delivery (% of POs and average days), rejection %, returns per 1,000 MT, price vs panel (scaled by z-score).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Composite 0-100: short 35%, late 25%, rejection 15%, returns 15%, price 10%. No relationship years and no use of is_underperformer.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Result: VS12 9.2, VS19 9.3, VS03 10.8 (POOR); the other 31 suppliers score 91-100. The three rank 1-3 under all four weighting schemes tested.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Per-category scorecard over all 612 supplier x material cells: all 54 cells for the three suppliers are POOR, none of the other 558 are.</w:t>
      </w:r>
    </w:p>
    <w:p>
      <w:pPr>
        <w:pStyle w:val="Heading2"/>
      </w:pPr>
      <w:r>
        <w:t xml:space="preserve">Phase 4: Rupee impact (D3)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Supplier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Billing gap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Excess over baseline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Rejection loss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Returns (confirmed + inferred)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Headline loss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VS12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1.19 Cr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1.02 Cr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0.82 Cr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0.95 Cr + 0.63 Cr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3.42 Cr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VS19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1.06 Cr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0.91 Cr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0.74 Cr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0.75 Cr + 0.44 Cr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2.83 Cr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VS03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1.04 Cr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0.89 Cr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0.74 Cr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0.74 Cr + 0.45 Cr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 2.81 Cr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Formula: invoice_amount_billed - quantity_received x unit_price_quoted, summed per PO. Panel total gap Rs 7.87 Cr on Rs 1,008.6 Cr billed.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premium and the late-delivery carrying-cost proxy are shown separately and are not in the headline.</w:t>
      </w:r>
    </w:p>
    <w:p>
      <w:pPr>
        <w:pStyle w:val="Heading2"/>
      </w:pPr>
      <w:r>
        <w:t xml:space="preserve">Excel evidence workbook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inputs in blue, every rupee figure a live formula. Sheets: Summary, Assumptions, Supplier_Impact, Scorecard, PO_Facts, Returns_Confirmed, Returns_Inferred, Returns_Attributed, Category_Scorecard, Validation, Sensitivity, Data_Quality_Log.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Cross-checked against the Python outputs: differences of at most Rs 0.01 on the billing, rejection and confirmed-return figures, and at most Rs 29 on inferred returns (rounding).</w:t>
      </w:r>
    </w:p>
    <w:p>
      <w:pPr>
        <w:pStyle w:val="Heading1"/>
      </w:pPr>
      <w:r>
        <w:t xml:space="preserve">4. What is left to implement</w:t>
      </w:r>
    </w:p>
    <w:p>
      <w:pPr>
        <w:pStyle w:val="Heading2"/>
      </w:pPr>
      <w:r>
        <w:t xml:space="preserve">Phase 5: Negotiation briefs (D4), 25% of the judging weight</w:t>
      </w:r>
    </w:p>
    <w:p>
      <w:pPr>
        <w:spacing w:after="100"/>
      </w:pPr>
      <w:r>
        <w:t xml:space="preserve">Output: three full Word briefs (VS12, VS19, VS03), 1-2 A4 pages each, plus two watch-list one-pagers (VS16, VS17).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Header: supplier, categories on file, spend, PO count, period.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Headline: rupees lost over 3 years, split into short-billing excess, rejections, confirmed returns, and inferred returns shown separately as an estimate with its range.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Evidence table: metric, supplier value, panel benchmark, rupee impact, with the 5 worst PO IDs per supplier.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Specific asks, each with a number: credit note for the excess short-billed amount; billing on received quantity from now on; credit for rejected goods; a returns charge-back for confirmed returns; an on-time clause with a penalty (the penalty rate will be marked as a proposal, not a data finding).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Anticipated pushback: Arora's own payment delay (average 7.3 days late; 7.2 for VS12, 6.9 for VS19, 7.4 for VS03) and a suggested response.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Fallback position and the alternative suppliers from the panel.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Annexure reference to the matching sheets in the Excel workbook.</w:t>
      </w:r>
    </w:p>
    <w:p>
      <w:pPr>
        <w:spacing w:after="100"/>
      </w:pPr>
      <w:r>
        <w:t xml:space="preserve">Watch-list one-pagers: VS16 (price premium +4.5% vs panel, z = 2.0, highest return rate among the clean suppliers) and VS17 (next highest rupee loss, almost all from returns). Both will say plainly that the evidence is weaker and the ask is a conversation, not a claim.</w:t>
      </w:r>
    </w:p>
    <w:p>
      <w:pPr>
        <w:pStyle w:val="Heading2"/>
      </w:pPr>
      <w:r>
        <w:t xml:space="preserve">Phase 6: Replacement recommendation (D5)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candidates: the three POOR suppliers, VS12, VS19 and VS03.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Alternatives must be master-listed for the same categories, score ACCEPTABLE, and have capacity (their current volume in that category relative to what would move).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Watch-out: thin cover. Hex Bars is listed only for VS03 and VS18, so a single alternative exists for that category.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Also address the 87% of POs placed outside the master categories: recommend moving that spend to suppliers registered for the material.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Replacement_Recommendation.docx with a table per supplier and category: current spend, candidate alternatives, their scores, and a capacity note.</w:t>
      </w:r>
    </w:p>
    <w:p>
      <w:pPr>
        <w:pStyle w:val="Heading2"/>
      </w:pPr>
      <w:r>
        <w:t xml:space="preserve">Methodology note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Attribution method, ablation table, validation results, assumptions and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date proximity was excluded and why the exact-supplier accuracy is modest while aggregate rupee totals are reliable.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caveats: dataset scale is about 37 times the Rs 70-85L/month in the problem statement; relationship years in the master differ from the brief; the market index sits below PO prices.</w:t>
      </w:r>
    </w:p>
    <w:p>
      <w:pPr>
        <w:pStyle w:val="Heading2"/>
      </w:pPr>
      <w:r>
        <w:t xml:space="preserve">Workbook additions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Reconciliation sheet showing that rejection and returns do not overlap (the cap rule is implemented, but not displayed).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Late-delivery carrying-cost proxy calculated in the workbook (only the 12% assumption is there now).</w:t>
      </w:r>
    </w:p>
    <w:p>
      <w:pPr>
        <w:pStyle w:val="Heading1"/>
      </w:pPr>
      <w:r>
        <w:t xml:space="preserve">5. Decisions and open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Open point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default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Language of the briefs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English only. A short Hindi/Marathi summary box can be added if wanted.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Penalty rate for the on-time clause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Proposed in the brief and clearly marked as a proposal, not derived from data.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Whether to name VS16 and VS17 in the deliverables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Yes, as watch-list suppliers with weaker evidence.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Currency format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Rupees in full digits; lakh/crore labels can be added in the briefs.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6. Risks for the remaining 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Inferred returns are estimates, not facts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confirmed and inferred amounts separately, with the 80% range; headline wording says 'estimated' for the inferred part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Suppliers will counter with Arora's own late payments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brief carries the figures and a suggested response; ask for payment-terms alignment in return for the credit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3 suppliers are truly poor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this openly; the two watch-list briefs are labelled as lower-evidence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Thin in-master samples (many cells under 8 POs)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PO counts next to each figure and use the supplier-level evidence for the asks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Very few alternatives in some categories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Say so in the recommendation instead of forcing a replacement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7. How to run what is built</w:t>
      </w:r>
    </w:p>
    <w:p>
      <w:pPr>
        <w:spacing w:after="100"/>
      </w:pPr>
      <w:r>
        <w:t xml:space="preserve">Folder layout: scripts in the project folder, the six raw CSVs in data/, an empty output/ folder. Run in this order: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pipeline.py data output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phase4_rupee_impact.py output data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phase2_attribution.py output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phase3_scorecard.py output data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build_workbook.py output data</w:t>
      </w:r>
    </w:p>
    <w:p>
      <w:pPr>
        <w:spacing w:after="100"/>
      </w:pPr>
      <w:r>
        <w:t xml:space="preserve">Requires Python 3.9+, pandas 2.2 or newer, numpy and openpyxl. The workbook's formulas recalculate when opened in Excel.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2026-10-01T07:32:54.419Z</dcterms:created>
  <dcterms:modified xsi:type="dcterms:W3CDTF">2026-10-01T07:32:54.426Z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