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2"/>
        </w:rPr>
        <w:t>SUPPLIER NEGOTIATION BRIEF</w:t>
      </w:r>
    </w:p>
    <w:p>
      <w:pPr>
        <w:jc w:val="center"/>
      </w:pPr>
      <w:r>
        <w:rPr>
          <w:i/>
          <w:color w:val="555555"/>
          <w:sz w:val="18"/>
        </w:rPr>
        <w:t>Arora Traders, Pune  |  Prepared: October 2026  |  CONFIDENTIAL</w:t>
      </w:r>
    </w:p>
    <w:p>
      <w:pPr>
        <w:pBdr>
          <w:bottom w:val="single" w:sz="6" w:color="1F3864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 ID</w:t>
            </w:r>
          </w:p>
        </w:tc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Master categories</w:t>
            </w:r>
          </w:p>
        </w:tc>
        <w:tc>
          <w:tcPr>
            <w:tcW w:type="dxa" w:w="255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Credit terms</w:t>
            </w:r>
          </w:p>
        </w:tc>
      </w:tr>
      <w:tr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Nutan Tubes</w:t>
            </w:r>
          </w:p>
        </w:tc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VS12</w:t>
            </w:r>
          </w:p>
        </w:tc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Spring Steel,HR Coils,MS Flats</w:t>
            </w:r>
          </w:p>
        </w:tc>
        <w:tc>
          <w:tcPr>
            <w:tcW w:type="dxa" w:w="255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15 days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PO count (3 yrs)</w:t>
            </w:r>
          </w:p>
        </w:tc>
        <w:tc>
          <w:tcPr>
            <w:tcW w:type="dxa" w:w="340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billed (3 yrs)</w:t>
            </w:r>
          </w:p>
        </w:tc>
        <w:tc>
          <w:tcPr>
            <w:tcW w:type="dxa" w:w="3400"/>
            <w:shd w:val="clear" w:color="auto" w:fill="2E5FA3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Arora avg. payment delay</w:t>
            </w:r>
          </w:p>
        </w:tc>
      </w:tr>
      <w:tr>
        <w:tc>
          <w:tcPr>
            <w:tcW w:type="dxa" w:w="340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340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Rs 33.41 Cr</w:t>
            </w:r>
          </w:p>
        </w:tc>
        <w:tc>
          <w:tcPr>
            <w:tcW w:type="dxa" w:w="3400"/>
            <w:shd w:val="clear" w:color="auto" w:fill="EEF2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7.2 days late (our side — panel avg 7.3 days)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1. Financial Impact — 3-Year Summary (Oct 2023 – Oct 2026)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Loss Component</w:t>
            </w:r>
          </w:p>
        </w:tc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Amount (Rs)</w:t>
            </w:r>
          </w:p>
        </w:tc>
        <w:tc>
          <w:tcPr>
            <w:tcW w:type="dxa" w:w="34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How it is measured</w:t>
            </w:r>
          </w:p>
        </w:tc>
      </w:tr>
      <w:tr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A*  Short-billing excess (above panel baseline 0.51%)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102.3L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Invoice on ordered qty; received qty was short. Panel baseline subtracted. Floor at 0 per supplier.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B   Rejection loss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82.3L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Rejected MT x quoted unit price. Rejected goods inside received qty and were billed.</w:t>
            </w:r>
          </w:p>
        </w:tc>
      </w:tr>
      <w:tr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   Confirmed customer returns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94.7L</w:t>
            </w:r>
          </w:p>
        </w:tc>
        <w:tc>
          <w:tcPr>
            <w:tcW w:type="dxa" w:w="34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 batches. Capped per batch (no double-count with rejections).</w:t>
            </w:r>
          </w:p>
        </w:tc>
      </w:tr>
      <w:tr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D   Inferred returns (probability estimate)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Rs 62.5L</w:t>
            </w:r>
          </w:p>
        </w:tc>
        <w:tc>
          <w:tcPr>
            <w:tcW w:type="dxa" w:w="34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80%% range: Rs 46.8L to Rs 78.0L. Bayesian model.</w:t>
            </w:r>
          </w:p>
        </w:tc>
      </w:tr>
      <w:tr>
        <w:tc>
          <w:tcPr>
            <w:tcW w:type="dxa" w:w="3400"/>
            <w:shd w:val="clear" w:color="auto" w:fill="FFE5C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HEADLINE LOSS  (A* + B + C + D)</w:t>
            </w:r>
          </w:p>
        </w:tc>
        <w:tc>
          <w:tcPr>
            <w:tcW w:type="dxa" w:w="3400"/>
            <w:shd w:val="clear" w:color="auto" w:fill="FFE5C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/>
                <w:sz w:val="18"/>
              </w:rPr>
              <w:t>Rs 3.42 Cr</w:t>
            </w:r>
          </w:p>
        </w:tc>
        <w:tc>
          <w:tcPr>
            <w:tcW w:type="dxa" w:w="3400"/>
            <w:shd w:val="clear" w:color="auto" w:fill="FFE5CC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/>
                <w:sz w:val="18"/>
              </w:rPr>
              <w:t>8.4%% of total billed over 3 years.</w:t>
            </w:r>
          </w:p>
        </w:tc>
      </w:tr>
    </w:tbl>
    <w:p/>
    <w:p>
      <w:pPr>
        <w:spacing w:before="40" w:after="40"/>
      </w:pPr>
      <w:r>
        <w:rPr>
          <w:b w:val="0"/>
          <w:i/>
          <w:color w:val="666666"/>
          <w:sz w:val="16"/>
        </w:rPr>
        <w:t>Memo (NOT in headline): Full billing gap (all short-billing) = Rs 119.3L.  Price premium vs panel = +1.01%% (z=0.43; not statistically significant).  Late-delivery carrying-cost proxy = Rs 4.0L (12%% p.a. assumption).</w:t>
      </w:r>
    </w:p>
    <w:p>
      <w:pPr>
        <w:spacing w:before="160" w:after="80"/>
      </w:pPr>
      <w:r>
        <w:rPr>
          <w:b/>
          <w:color w:val="1F3864"/>
          <w:sz w:val="28"/>
        </w:rPr>
        <w:t>2. Performance Metrics vs Panel Benchmark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Nutan Tubes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Panel benchmark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Comment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Short delivery  % of ordered qty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3.58%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0.51%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7.0x the panel baseline</w:t>
            </w:r>
          </w:p>
        </w:tc>
      </w:tr>
      <w:tr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Late POs  % of all POs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100.00%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78.12%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Every PO is late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Average days late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5.1 d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1.9 d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Consistent across 3 years</w:t>
            </w:r>
          </w:p>
        </w:tc>
      </w:tr>
      <w:tr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Rejection  % of received qty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2.53%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0.23%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High rejection rate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Price vs panel  (same material/yr)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+1.01%%  z=0.43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0.00%%  z=0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Weak signal — not in headline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3. Five Worst Purchase Orders (by excess billing gap)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75"/>
        <w:gridCol w:w="1275"/>
        <w:gridCol w:w="1275"/>
        <w:gridCol w:w="1275"/>
        <w:gridCol w:w="1275"/>
        <w:gridCol w:w="1275"/>
        <w:gridCol w:w="1275"/>
        <w:gridCol w:w="1275"/>
      </w:tblGrid>
      <w:tr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PO ID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Material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Ord. MT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Recd. MT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Billed (Rs)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Billing gap (Rs)</w:t>
            </w:r>
          </w:p>
        </w:tc>
        <w:tc>
          <w:tcPr>
            <w:tcW w:type="dxa" w:w="1275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Rejection (Rs)</w:t>
            </w:r>
          </w:p>
        </w:tc>
      </w:tr>
      <w:tr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PO-2022-2276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2022-08-11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MS Rods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49.96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47.57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5,774,932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276,263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186,102</w:t>
            </w:r>
          </w:p>
        </w:tc>
      </w:tr>
      <w:tr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PO-2021-0507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2021-03-08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MS Flats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46.13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44.09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5,640,198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249,426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136,940</w:t>
            </w:r>
          </w:p>
        </w:tc>
      </w:tr>
      <w:tr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PO-2021-1154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2023-01-23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MS Rods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43.94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41.96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5,294,377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238,572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121,696</w:t>
            </w:r>
          </w:p>
        </w:tc>
      </w:tr>
      <w:tr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PO-2023-4379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2021-12-13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Spring Steel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45.92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43.80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4,306,086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198,800</w:t>
            </w:r>
          </w:p>
        </w:tc>
        <w:tc>
          <w:tcPr>
            <w:tcW w:type="dxa" w:w="1275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193,174</w:t>
            </w:r>
          </w:p>
        </w:tc>
      </w:tr>
      <w:tr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PO-2023-3823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2021-01-19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6"/>
              </w:rPr>
              <w:t>Spring Steel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45.56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43.46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4,157,365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191,626</w:t>
            </w:r>
          </w:p>
        </w:tc>
        <w:tc>
          <w:tcPr>
            <w:tcW w:type="dxa" w:w="1275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right"/>
            </w:pPr>
            <w:r/>
            <w:r>
              <w:rPr>
                <w:b w:val="0"/>
                <w:sz w:val="16"/>
              </w:rPr>
              <w:t>83,038</w:t>
            </w:r>
          </w:p>
        </w:tc>
      </w:tr>
    </w:tbl>
    <w:p>
      <w:pPr>
        <w:spacing w:before="40" w:after="40"/>
      </w:pPr>
      <w:r>
        <w:rPr>
          <w:b w:val="0"/>
          <w:i/>
          <w:color w:val="666666"/>
          <w:sz w:val="16"/>
        </w:rPr>
        <w:t>Verify: Open Supplier_Evidence_Workbook.xlsx -&gt; PO_Facts, filter column C = VS12, sort column T (excess_gap) descending.</w:t>
      </w:r>
    </w:p>
    <w:p/>
    <w:p>
      <w:pPr>
        <w:spacing w:before="160" w:after="80"/>
      </w:pPr>
      <w:r>
        <w:rPr>
          <w:b/>
          <w:color w:val="1F3864"/>
          <w:sz w:val="28"/>
        </w:rPr>
        <w:t>4. Negotiation Asks — Specific and Quantified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Ask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 and proposed wording</w:t>
            </w:r>
          </w:p>
        </w:tc>
      </w:tr>
      <w:tr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1: Credit note for excess short-billing</w:t>
            </w:r>
          </w:p>
        </w:tc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Excess over panel-normal shortage = Rs 102.3L over 3 years. Request a credit note for Rs 51.1L (50%%), issued across three invoices.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2: Future billing on quantity received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All invoices from next PO onwards to be raised on quantity_received, not quantity_ordered. A dispatch note with actual MT dispatched must accompany every invoice.</w:t>
            </w:r>
          </w:p>
        </w:tc>
      </w:tr>
      <w:tr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3: Credit or replacement for rejected goods</w:t>
            </w:r>
          </w:p>
        </w:tc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Rejected goods = Rs 82.3L over 3 years. Request full credit note or replacement shipment within 30 days of this meeting.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4: Charge-back for confirmed customer returns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54 confirmed return batches valued at Rs 94.7L. Propose a 50%% charge-back (Rs 47.3L) on next invoice. Returns_Confirmed sheet annexed.</w:t>
            </w:r>
          </w:p>
        </w:tc>
      </w:tr>
      <w:tr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Ask 5: On-time delivery clause (proposed; not data-derived)</w:t>
            </w:r>
          </w:p>
        </w:tc>
        <w:tc>
          <w:tcPr>
            <w:tcW w:type="dxa" w:w="5100"/>
            <w:shd w:val="clear" w:color="auto" w:fill="FFF8E7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100%% of 147 POs arrived late (avg 5.1 days). Propose penalty of 0.1%% of invoice value per day of delay, capped at 2%%. Rate to be agreed in writing — this is a proposal.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5. Anticipated Pushback and Suggested Responses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Likely pushback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Suggested response</w:t>
            </w:r>
          </w:p>
        </w:tc>
      </w:tr>
      <w:tr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You also pay us late.</w:t>
            </w:r>
          </w:p>
        </w:tc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Fact: we average 7.2 days late on your invoices. We acknowledge this and propose moving to 7-day electronic transfers in exchange for billing on received quantity and resolution of return credits. Both sides commit in writing.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returns are from quality issues at your clients, not our material.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240 of 380 returns are directly traced to supplier batches at the time of return. We are asking only for confirmed returns (Returns_Confirmed sheet). The inferred estimate is shown separately and not included in our Ask 4.</w:t>
            </w:r>
          </w:p>
        </w:tc>
      </w:tr>
      <w:tr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Short deliveries are due to transit losses.</w:t>
            </w:r>
          </w:p>
        </w:tc>
        <w:tc>
          <w:tcPr>
            <w:tcW w:type="dxa" w:w="5100"/>
            <w:shd w:val="clear" w:color="auto" w:fill="FF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The panel median shortfall is 0.511%% across all 34 suppliers. Nutan Tubes runs 3.58%% — 7.0x the norm. Transit risk cannot explain this gap.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6. Fallback Position and Alternative Suppliers</w:t>
      </w:r>
    </w:p>
    <w:p>
      <w:pPr>
        <w:pBdr>
          <w:bottom w:val="single" w:sz="6" w:color="2E5FA3"/>
        </w:pBdr>
        <w:spacing w:after="80"/>
      </w:pPr>
    </w:p>
    <w:p>
      <w:pPr>
        <w:spacing w:before="40" w:after="40"/>
      </w:pPr>
      <w:r>
        <w:rPr>
          <w:b/>
          <w:i w:val="0"/>
          <w:sz w:val="20"/>
        </w:rPr>
        <w:t>Minimum acceptable outcome from this meeting:</w:t>
      </w:r>
    </w:p>
    <w:p>
      <w:pPr>
        <w:pStyle w:val="ListBullet"/>
        <w:spacing w:before="20" w:after="20"/>
      </w:pPr>
      <w:r>
        <w:rPr>
          <w:sz w:val="20"/>
        </w:rPr>
        <w:t>Written agreement to bill on quantity received from next PO onwards.</w:t>
      </w:r>
    </w:p>
    <w:p>
      <w:pPr>
        <w:pStyle w:val="ListBullet"/>
        <w:spacing w:before="20" w:after="20"/>
      </w:pPr>
      <w:r>
        <w:rPr>
          <w:sz w:val="20"/>
        </w:rPr>
        <w:t>Credit note of at least Rs 25.6L within 60 days.</w:t>
      </w:r>
    </w:p>
    <w:p>
      <w:pPr>
        <w:pStyle w:val="ListBullet"/>
        <w:spacing w:before="20" w:after="20"/>
      </w:pPr>
      <w:r>
        <w:rPr>
          <w:sz w:val="20"/>
        </w:rPr>
        <w:t>Rejection resolution (replacement or credit) within 30 days.</w:t>
      </w:r>
    </w:p>
    <w:p/>
    <w:p>
      <w:pPr>
        <w:spacing w:before="40" w:after="40"/>
      </w:pPr>
      <w:r>
        <w:rPr>
          <w:b/>
          <w:i w:val="0"/>
          <w:sz w:val="20"/>
        </w:rPr>
        <w:t>Alternative suppliers on the panel (ACCEPTABLE-rated, same categories):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Supplier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Headline loss (3 yr)</w:t>
            </w:r>
          </w:p>
        </w:tc>
        <w:tc>
          <w:tcPr>
            <w:tcW w:type="dxa" w:w="255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Billed (3 yr)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VS02 — SAIL Distribution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Spring Steel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7.4L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31.75 Cr</w:t>
            </w:r>
          </w:p>
        </w:tc>
      </w:tr>
      <w:tr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VS15 — Western Steel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HR Coils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4.5L</w:t>
            </w:r>
          </w:p>
        </w:tc>
        <w:tc>
          <w:tcPr>
            <w:tcW w:type="dxa" w:w="255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30.30 Cr</w:t>
            </w:r>
          </w:p>
        </w:tc>
      </w:tr>
      <w:tr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VS22 — Ratan Steel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MS Flats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3.5L</w:t>
            </w:r>
          </w:p>
        </w:tc>
        <w:tc>
          <w:tcPr>
            <w:tcW w:type="dxa" w:w="255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Rs 26.13 Cr</w:t>
            </w:r>
          </w:p>
        </w:tc>
      </w:tr>
    </w:tbl>
    <w:p/>
    <w:p>
      <w:pPr>
        <w:spacing w:before="160" w:after="80"/>
      </w:pPr>
      <w:r>
        <w:rPr>
          <w:b/>
          <w:color w:val="1F3864"/>
          <w:sz w:val="28"/>
        </w:rPr>
        <w:t>7. Workbook Cross-Reference (Supplier_Evidence_Workbook.xlsx)</w:t>
      </w:r>
    </w:p>
    <w:p>
      <w:pPr>
        <w:pBdr>
          <w:bottom w:val="single" w:sz="6" w:color="2E5FA3"/>
        </w:pBd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Sheet</w:t>
            </w:r>
          </w:p>
        </w:tc>
        <w:tc>
          <w:tcPr>
            <w:tcW w:type="dxa" w:w="5100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How to verify the numbers in this brief</w:t>
            </w:r>
          </w:p>
        </w:tc>
      </w:tr>
      <w:tr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PO_Facts</w:t>
            </w:r>
          </w:p>
        </w:tc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 col C = VS12. Col R = billing gap. Col T = excess gap.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Returns_Confirmed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 col G = VS12. Col K = confirmed return value.</w:t>
            </w:r>
          </w:p>
        </w:tc>
      </w:tr>
      <w:tr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Returns_Inferred</w:t>
            </w:r>
          </w:p>
        </w:tc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Filter col B = VS12. Col H = expected inferred value.</w:t>
            </w:r>
          </w:p>
        </w:tc>
      </w:tr>
      <w:tr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Supplier_Impact</w:t>
            </w:r>
          </w:p>
        </w:tc>
        <w:tc>
          <w:tcPr>
            <w:tcW w:type="dxa" w:w="5100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Row for VS12. Live formulas. Cols H, I, J, K = A*, B, C, D.</w:t>
            </w:r>
          </w:p>
        </w:tc>
      </w:tr>
      <w:tr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Scorecard</w:t>
            </w:r>
          </w:p>
        </w:tc>
        <w:tc>
          <w:tcPr>
            <w:tcW w:type="dxa" w:w="5100"/>
            <w:shd w:val="clear" w:color="auto" w:fill="F9FA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Row for VS12. Composite score and tier.</w:t>
            </w:r>
          </w:p>
        </w:tc>
      </w:tr>
    </w:tbl>
    <w:p>
      <w:pPr>
        <w:spacing w:before="40" w:after="40"/>
      </w:pPr>
      <w:r>
        <w:rPr>
          <w:b w:val="0"/>
          <w:i/>
          <w:color w:val="666666"/>
          <w:sz w:val="16"/>
        </w:rPr>
        <w:t>All rupee figures in this brief are live formulas in the workbook — filter and verify any number.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