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SUPPLIER NEGOTIATION BRIEF</w:t>
      </w:r>
    </w:p>
    <w:p>
      <w:pPr>
        <w:jc w:val="center"/>
      </w:pPr>
      <w:r>
        <w:rPr>
          <w:i/>
          <w:color w:val="555555"/>
          <w:sz w:val="18"/>
        </w:rPr>
        <w:t>Arora Traders, Pune  |  Prepared: October 2026  |  CONFIDENTIAL</w:t>
      </w:r>
    </w:p>
    <w:p>
      <w:pPr>
        <w:pBdr>
          <w:bottom w:val="single" w:sz="6" w:color="1F3864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Supplier</w:t>
            </w:r>
          </w:p>
        </w:tc>
        <w:tc>
          <w:tcPr>
            <w:tcW w:type="dxa" w:w="255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Supplier ID</w:t>
            </w:r>
          </w:p>
        </w:tc>
        <w:tc>
          <w:tcPr>
            <w:tcW w:type="dxa" w:w="255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Master categories</w:t>
            </w:r>
          </w:p>
        </w:tc>
        <w:tc>
          <w:tcPr>
            <w:tcW w:type="dxa" w:w="255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Credit terms</w:t>
            </w:r>
          </w:p>
        </w:tc>
      </w:tr>
      <w:tr>
        <w:tc>
          <w:tcPr>
            <w:tcW w:type="dxa" w:w="255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Thakur Steel</w:t>
            </w:r>
          </w:p>
        </w:tc>
        <w:tc>
          <w:tcPr>
            <w:tcW w:type="dxa" w:w="255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VS19</w:t>
            </w:r>
          </w:p>
        </w:tc>
        <w:tc>
          <w:tcPr>
            <w:tcW w:type="dxa" w:w="255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MS Pipes,ERW Pipes,CR Sheets</w:t>
            </w:r>
          </w:p>
        </w:tc>
        <w:tc>
          <w:tcPr>
            <w:tcW w:type="dxa" w:w="255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30 days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 count (3 yrs)</w:t>
            </w:r>
          </w:p>
        </w:tc>
        <w:tc>
          <w:tcPr>
            <w:tcW w:type="dxa" w:w="340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billed (3 yrs)</w:t>
            </w:r>
          </w:p>
        </w:tc>
        <w:tc>
          <w:tcPr>
            <w:tcW w:type="dxa" w:w="340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Arora avg. payment delay</w:t>
            </w:r>
          </w:p>
        </w:tc>
      </w:tr>
      <w:tr>
        <w:tc>
          <w:tcPr>
            <w:tcW w:type="dxa" w:w="340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141</w:t>
            </w:r>
          </w:p>
        </w:tc>
        <w:tc>
          <w:tcPr>
            <w:tcW w:type="dxa" w:w="340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Rs 29.65 Cr</w:t>
            </w:r>
          </w:p>
        </w:tc>
        <w:tc>
          <w:tcPr>
            <w:tcW w:type="dxa" w:w="340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6.9 days late (our side — panel avg 7.3 days)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28"/>
        </w:rPr>
        <w:t>1. Financial Impact — 3-Year Summary (Oct 2023 – Oct 2026)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Loss Component</w:t>
            </w:r>
          </w:p>
        </w:tc>
        <w:tc>
          <w:tcPr>
            <w:tcW w:type="dxa" w:w="34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 (Rs)</w:t>
            </w:r>
          </w:p>
        </w:tc>
        <w:tc>
          <w:tcPr>
            <w:tcW w:type="dxa" w:w="34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How it is measured</w:t>
            </w:r>
          </w:p>
        </w:tc>
      </w:tr>
      <w:tr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A*  Short-billing excess (above panel baseline 0.51%)</w:t>
            </w:r>
          </w:p>
        </w:tc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Rs 90.7L</w:t>
            </w:r>
          </w:p>
        </w:tc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Invoice on ordered qty; received qty was short. Panel baseline subtracted. Floor at 0 per supplier.</w:t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   Rejection loss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Rs 74.1L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Rejected MT x quoted unit price. Rejected goods inside received qty and were billed.</w:t>
            </w:r>
          </w:p>
        </w:tc>
      </w:tr>
      <w:tr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   Confirmed customer returns</w:t>
            </w:r>
          </w:p>
        </w:tc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Rs 74.5L</w:t>
            </w:r>
          </w:p>
        </w:tc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41 batches. Capped per batch (no double-count with rejections).</w:t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   Inferred returns (probability estimate)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Rs 44.0L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80%% range: Rs 30.3L to Rs 57.5L. Bayesian model.</w:t>
            </w:r>
          </w:p>
        </w:tc>
      </w:tr>
      <w:tr>
        <w:tc>
          <w:tcPr>
            <w:tcW w:type="dxa" w:w="3400"/>
            <w:shd w:val="clear" w:color="auto" w:fill="FFE5CC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HEADLINE LOSS  (A* + B + C + D)</w:t>
            </w:r>
          </w:p>
        </w:tc>
        <w:tc>
          <w:tcPr>
            <w:tcW w:type="dxa" w:w="3400"/>
            <w:shd w:val="clear" w:color="auto" w:fill="FFE5CC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/>
                <w:sz w:val="18"/>
              </w:rPr>
              <w:t>Rs 2.83 Cr</w:t>
            </w:r>
          </w:p>
        </w:tc>
        <w:tc>
          <w:tcPr>
            <w:tcW w:type="dxa" w:w="3400"/>
            <w:shd w:val="clear" w:color="auto" w:fill="FFE5CC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8.1%% of total billed over 3 years.</w:t>
            </w:r>
          </w:p>
        </w:tc>
      </w:tr>
    </w:tbl>
    <w:p/>
    <w:p>
      <w:pPr>
        <w:spacing w:before="40" w:after="40"/>
      </w:pPr>
      <w:r>
        <w:rPr>
          <w:b w:val="0"/>
          <w:i/>
          <w:color w:val="666666"/>
          <w:sz w:val="16"/>
        </w:rPr>
        <w:t>Memo (NOT in headline): Full billing gap (all short-billing) = Rs 105.9L.  Price premium vs panel = +2.33%% (z=1.04; not statistically significant).  Late-delivery carrying-cost proxy = Rs 3.4L (12%% p.a. assumption).</w:t>
      </w:r>
    </w:p>
    <w:p>
      <w:pPr>
        <w:spacing w:before="160" w:after="80"/>
      </w:pPr>
      <w:r>
        <w:rPr>
          <w:b/>
          <w:color w:val="1F3864"/>
          <w:sz w:val="28"/>
        </w:rPr>
        <w:t>2. Performance Metrics vs Panel Benchmark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Thakur Steel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Panel benchmark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Short delivery  % of ordered qty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3.57%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0.51%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7.0x the panel baseline</w:t>
            </w:r>
          </w:p>
        </w:tc>
      </w:tr>
      <w:tr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Late POs  % of all POs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78.12%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Every PO is late</w:t>
            </w:r>
          </w:p>
        </w:tc>
      </w:tr>
      <w:tr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Average days late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5.0 d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1.9 d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Consistent across 3 years</w:t>
            </w:r>
          </w:p>
        </w:tc>
      </w:tr>
      <w:tr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Rejection  % of received qty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2.65%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0.23%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 rejection rate</w:t>
            </w:r>
          </w:p>
        </w:tc>
      </w:tr>
      <w:tr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Price vs panel  (same material/yr)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+2.33%%  z=1.04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0.00%%  z=0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Weak signal — not in headline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28"/>
        </w:rPr>
        <w:t>3. Five Worst Purchase Orders (by excess billing gap)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PO ID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Ord. MT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Recd. MT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Billed (Rs)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Billing gap (Rs)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Rejection (Rs)</w:t>
            </w:r>
          </w:p>
        </w:tc>
      </w:tr>
      <w:tr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PO-2021-0711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2023-12-04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 Pipes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47.34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44.98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5,244,223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261,436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84,191</w:t>
            </w:r>
          </w:p>
        </w:tc>
      </w:tr>
      <w:tr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PO-2021-1464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2021-10-29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Square/Rect Tubes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37.61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35.81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4,251,131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203,457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170,678</w:t>
            </w:r>
          </w:p>
        </w:tc>
      </w:tr>
      <w:tr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PO-2021-1053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2023-06-26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MS Sheets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40.48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38.79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4,958,320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207,005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102,890</w:t>
            </w:r>
          </w:p>
        </w:tc>
      </w:tr>
      <w:tr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PO-2021-1009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2022-03-27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MS Sheets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39.69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37.74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3,832,623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188,300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89,804</w:t>
            </w:r>
          </w:p>
        </w:tc>
      </w:tr>
      <w:tr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PO-2021-0418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2022-08-23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 Sheets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47.67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45.59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4,143,685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180,803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46,070</w:t>
            </w:r>
          </w:p>
        </w:tc>
      </w:tr>
    </w:tbl>
    <w:p>
      <w:pPr>
        <w:spacing w:before="40" w:after="40"/>
      </w:pPr>
      <w:r>
        <w:rPr>
          <w:b w:val="0"/>
          <w:i/>
          <w:color w:val="666666"/>
          <w:sz w:val="16"/>
        </w:rPr>
        <w:t>Verify: Open Supplier_Evidence_Workbook.xlsx -&gt; PO_Facts, filter column C = VS19, sort column T (excess_gap) descending.</w:t>
      </w:r>
    </w:p>
    <w:p/>
    <w:p>
      <w:pPr>
        <w:spacing w:before="160" w:after="80"/>
      </w:pPr>
      <w:r>
        <w:rPr>
          <w:b/>
          <w:color w:val="1F3864"/>
          <w:sz w:val="28"/>
        </w:rPr>
        <w:t>4. Negotiation Asks — Specific and Quantified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Ask</w:t>
            </w:r>
          </w:p>
        </w:tc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 and proposed wording</w:t>
            </w:r>
          </w:p>
        </w:tc>
      </w:tr>
      <w:tr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Ask 1: Credit note for excess short-billing</w:t>
            </w:r>
          </w:p>
        </w:tc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Excess over panel-normal shortage = Rs 90.7L over 3 years. Request a credit note for Rs 45.4L (50%%), issued across three invoices.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Ask 2: Future billing on quantity received</w:t>
            </w:r>
          </w:p>
        </w:tc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invoices from next PO onwards to be raised on quantity_received, not quantity_ordered. A dispatch note with actual MT dispatched must accompany every invoice.</w:t>
            </w:r>
          </w:p>
        </w:tc>
      </w:tr>
      <w:tr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Ask 3: Credit or replacement for rejected goods</w:t>
            </w:r>
          </w:p>
        </w:tc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Rejected goods = Rs 74.1L over 3 years. Request full credit note or replacement shipment within 30 days of this meeting.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Ask 4: Charge-back for confirmed customer returns</w:t>
            </w:r>
          </w:p>
        </w:tc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41 confirmed return batches valued at Rs 74.5L. Propose a 50%% charge-back (Rs 37.3L) on next invoice. Returns_Confirmed sheet annexed.</w:t>
            </w:r>
          </w:p>
        </w:tc>
      </w:tr>
      <w:tr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Ask 5: On-time delivery clause (proposed; not data-derived)</w:t>
            </w:r>
          </w:p>
        </w:tc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100%% of 141 POs arrived late (avg 5.0 days). Propose penalty of 0.1%% of invoice value per day of delay, capped at 2%%. Rate to be agreed in writing — this is a proposal.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28"/>
        </w:rPr>
        <w:t>5. Anticipated Pushback and Suggested Responses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Likely pushback</w:t>
            </w:r>
          </w:p>
        </w:tc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Suggested response</w:t>
            </w:r>
          </w:p>
        </w:tc>
      </w:tr>
      <w:tr>
        <w:tc>
          <w:tcPr>
            <w:tcW w:type="dxa" w:w="5100"/>
            <w:shd w:val="clear" w:color="auto" w:fill="FFF0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You also pay us late.</w:t>
            </w:r>
          </w:p>
        </w:tc>
        <w:tc>
          <w:tcPr>
            <w:tcW w:type="dxa" w:w="5100"/>
            <w:shd w:val="clear" w:color="auto" w:fill="FFF0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Fact: we average 6.9 days late on your invoices. We acknowledge this and propose moving to 7-day electronic transfers in exchange for billing on received quantity and resolution of return credits. Both sides commit in writing.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returns are from quality issues at your clients, not our material.</w:t>
            </w:r>
          </w:p>
        </w:tc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240 of 380 returns are directly traced to supplier batches at the time of return. We are asking only for confirmed returns (Returns_Confirmed sheet). The inferred estimate is shown separately and not included in our Ask 4.</w:t>
            </w:r>
          </w:p>
        </w:tc>
      </w:tr>
      <w:tr>
        <w:tc>
          <w:tcPr>
            <w:tcW w:type="dxa" w:w="5100"/>
            <w:shd w:val="clear" w:color="auto" w:fill="FFF0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Short deliveries are due to transit losses.</w:t>
            </w:r>
          </w:p>
        </w:tc>
        <w:tc>
          <w:tcPr>
            <w:tcW w:type="dxa" w:w="5100"/>
            <w:shd w:val="clear" w:color="auto" w:fill="FFF0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panel median shortfall is 0.511%% across all 34 suppliers. Thakur Steel runs 3.57%% — 7.0x the norm. Transit risk cannot explain this gap.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28"/>
        </w:rPr>
        <w:t>6. Fallback Position and Alternative Suppliers</w:t>
      </w:r>
    </w:p>
    <w:p>
      <w:pPr>
        <w:pBdr>
          <w:bottom w:val="single" w:sz="6" w:color="2E5FA3"/>
        </w:pBdr>
        <w:spacing w:after="80"/>
      </w:pPr>
    </w:p>
    <w:p>
      <w:pPr>
        <w:spacing w:before="40" w:after="40"/>
      </w:pPr>
      <w:r>
        <w:rPr>
          <w:b/>
          <w:i w:val="0"/>
          <w:sz w:val="20"/>
        </w:rPr>
        <w:t>Minimum acceptable outcome from this meeting:</w:t>
      </w:r>
    </w:p>
    <w:p>
      <w:pPr>
        <w:pStyle w:val="ListBullet"/>
        <w:spacing w:before="20" w:after="20"/>
      </w:pPr>
      <w:r>
        <w:rPr>
          <w:sz w:val="20"/>
        </w:rPr>
        <w:t>Written agreement to bill on quantity received from next PO onwards.</w:t>
      </w:r>
    </w:p>
    <w:p>
      <w:pPr>
        <w:pStyle w:val="ListBullet"/>
        <w:spacing w:before="20" w:after="20"/>
      </w:pPr>
      <w:r>
        <w:rPr>
          <w:sz w:val="20"/>
        </w:rPr>
        <w:t>Credit note of at least Rs 22.7L within 60 days.</w:t>
      </w:r>
    </w:p>
    <w:p>
      <w:pPr>
        <w:pStyle w:val="ListBullet"/>
        <w:spacing w:before="20" w:after="20"/>
      </w:pPr>
      <w:r>
        <w:rPr>
          <w:sz w:val="20"/>
        </w:rPr>
        <w:t>Rejection resolution (replacement or credit) within 30 days.</w:t>
      </w:r>
    </w:p>
    <w:p/>
    <w:p>
      <w:pPr>
        <w:spacing w:before="40" w:after="40"/>
      </w:pPr>
      <w:r>
        <w:rPr>
          <w:b/>
          <w:i w:val="0"/>
          <w:sz w:val="20"/>
        </w:rPr>
        <w:t>Alternative suppliers on the panel (ACCEPTABLE-rated, same categories):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Supplier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Headline loss (3 yr)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Billed (3 yr)</w:t>
            </w:r>
          </w:p>
        </w:tc>
      </w:tr>
      <w:tr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VS22 — Ratan Steel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MS Pipes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Rs 3.5L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Rs 26.13 Cr</w:t>
            </w:r>
          </w:p>
        </w:tc>
      </w:tr>
      <w:tr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VS21 — Viraj Profiles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ERW Pipes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Rs 8.2L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Rs 29.41 Cr</w:t>
            </w:r>
          </w:p>
        </w:tc>
      </w:tr>
      <w:tr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VS25 — Laxmi Hardware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 Sheets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Rs 9.8L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Rs 31.44 Cr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28"/>
        </w:rPr>
        <w:t>7. Workbook Cross-Reference (Supplier_Evidence_Workbook.xlsx)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Sheet</w:t>
            </w:r>
          </w:p>
        </w:tc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How to verify the numbers in this brief</w:t>
            </w:r>
          </w:p>
        </w:tc>
      </w:tr>
      <w:tr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PO_Facts</w:t>
            </w:r>
          </w:p>
        </w:tc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Filter col C = VS19. Col R = billing gap. Col T = excess gap.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Returns_Confirmed</w:t>
            </w:r>
          </w:p>
        </w:tc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Filter col G = VS19. Col K = confirmed return value.</w:t>
            </w:r>
          </w:p>
        </w:tc>
      </w:tr>
      <w:tr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Returns_Inferred</w:t>
            </w:r>
          </w:p>
        </w:tc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Filter col B = VS19. Col H = expected inferred value.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Supplier_Impact</w:t>
            </w:r>
          </w:p>
        </w:tc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Row for VS19. Live formulas. Cols H, I, J, K = A*, B, C, D.</w:t>
            </w:r>
          </w:p>
        </w:tc>
      </w:tr>
      <w:tr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Scorecard</w:t>
            </w:r>
          </w:p>
        </w:tc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Row for VS19. Composite score and tier.</w:t>
            </w:r>
          </w:p>
        </w:tc>
      </w:tr>
    </w:tbl>
    <w:p>
      <w:pPr>
        <w:spacing w:before="40" w:after="40"/>
      </w:pPr>
      <w:r>
        <w:rPr>
          <w:b w:val="0"/>
          <w:i/>
          <w:color w:val="666666"/>
          <w:sz w:val="16"/>
        </w:rPr>
        <w:t>All rupee figures in this brief are live formulas in the workbook — filter and verify any number.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