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3F00"/>
          <w:sz w:val="28"/>
        </w:rPr>
        <w:t>WATCH-LIST SUPPLIER — ONE-PAGER</w:t>
      </w:r>
    </w:p>
    <w:p>
      <w:pPr>
        <w:jc w:val="center"/>
      </w:pPr>
      <w:r>
        <w:rPr>
          <w:i/>
          <w:color w:val="555555"/>
          <w:sz w:val="18"/>
        </w:rPr>
        <w:t>Arora Traders, Pune  |  October 2026  |  CONFIDENTIAL</w:t>
      </w:r>
    </w:p>
    <w:p>
      <w:pPr>
        <w:pBdr>
          <w:bottom w:val="single" w:sz="6" w:color="7B3F00"/>
        </w:pBdr>
        <w:spacing w:after="80"/>
      </w:pPr>
    </w:p>
    <w:p>
      <w:pPr>
        <w:spacing w:before="40" w:after="40"/>
      </w:pPr>
      <w:r>
        <w:rPr>
          <w:b/>
          <w:i w:val="0"/>
          <w:color w:val="CC5500"/>
          <w:sz w:val="18"/>
        </w:rPr>
        <w:t>IMPORTANT: This is a WATCH-LIST brief. Evidence is weaker than for the three POOR-rated suppliers. No credit claims are made here. This document supports a conversation, not a formal charge-back.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 ID</w:t>
            </w:r>
          </w:p>
        </w:tc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Master categories</w:t>
            </w:r>
          </w:p>
        </w:tc>
        <w:tc>
          <w:tcPr>
            <w:tcW w:type="dxa" w:w="255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terms</w:t>
            </w:r>
          </w:p>
        </w:tc>
      </w:tr>
      <w:tr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Garg Enterprises</w:t>
            </w:r>
          </w:p>
        </w:tc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VS16</w:t>
            </w:r>
          </w:p>
        </w:tc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MS Rods,Angles &amp; Channels,HR Coils</w:t>
            </w:r>
          </w:p>
        </w:tc>
        <w:tc>
          <w:tcPr>
            <w:tcW w:type="dxa" w:w="2550"/>
            <w:shd w:val="clear" w:color="auto" w:fill="FFF3E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15 days</w:t>
            </w:r>
          </w:p>
        </w:tc>
      </w:tr>
    </w:tbl>
    <w:p/>
    <w:p>
      <w:pPr>
        <w:spacing w:before="160" w:after="80"/>
      </w:pPr>
      <w:r>
        <w:rPr>
          <w:b/>
          <w:color w:val="7B3F00"/>
          <w:sz w:val="22"/>
        </w:rPr>
        <w:t>Performance Summary</w:t>
      </w:r>
    </w:p>
    <w:p>
      <w:pPr>
        <w:pBdr>
          <w:bottom w:val="single" w:sz="6" w:color="7B3F00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Garg Enterprises</w:t>
            </w:r>
          </w:p>
        </w:tc>
        <w:tc>
          <w:tcPr>
            <w:tcW w:type="dxa" w:w="3400"/>
            <w:shd w:val="clear" w:color="auto" w:fill="7B3F0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Context</w:t>
            </w:r>
          </w:p>
        </w:tc>
      </w:tr>
      <w:tr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 count / total billed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133 POs  |  Rs 29.40 Cr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Headline loss (A*+B+C+D)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27.0L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 Rs 3.42 Cr for worst-rated supplier</w:t>
            </w:r>
          </w:p>
        </w:tc>
      </w:tr>
      <w:tr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Confirmed returns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18.0L  (6 returns)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 vs panel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+4.51%%  z = 2.02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 &gt; 2 = borderline significant</w:t>
            </w:r>
          </w:p>
        </w:tc>
      </w:tr>
      <w:tr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Avg delivery delay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1.7 days</w:t>
            </w:r>
          </w:p>
        </w:tc>
        <w:tc>
          <w:tcPr>
            <w:tcW w:type="dxa" w:w="3400"/>
            <w:shd w:val="clear" w:color="auto" w:fill="FFF8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 — not a concern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per 1,000 MT received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2.79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Elevated vs most ACCEPTABLE suppliers</w:t>
            </w:r>
          </w:p>
        </w:tc>
      </w:tr>
    </w:tbl>
    <w:p/>
    <w:p>
      <w:pPr>
        <w:spacing w:before="160" w:after="80"/>
      </w:pPr>
      <w:r>
        <w:rPr>
          <w:b/>
          <w:color w:val="7B3F00"/>
          <w:sz w:val="22"/>
        </w:rPr>
        <w:t>Conversation Points (not claims)</w:t>
      </w:r>
    </w:p>
    <w:p>
      <w:pPr>
        <w:pBdr>
          <w:bottom w:val="single" w:sz="6" w:color="7B3F00"/>
        </w:pBdr>
        <w:spacing w:after="80"/>
      </w:pPr>
    </w:p>
    <w:p>
      <w:pPr>
        <w:pStyle w:val="ListBullet"/>
        <w:spacing w:before="20" w:after="20"/>
      </w:pPr>
      <w:r>
        <w:rPr>
          <w:sz w:val="18"/>
        </w:rPr>
        <w:t>Price premium: Garg Enterprises averages +4.51%% above the panel for the same materials in the same year. Statistical z = 2.02 — borderline. Ask: 'Can you match the panel rate on MS Rods and HR Coils?'</w:t>
      </w:r>
    </w:p>
    <w:p>
      <w:pPr>
        <w:pStyle w:val="ListBullet"/>
        <w:spacing w:before="20" w:after="20"/>
      </w:pPr>
      <w:r>
        <w:rPr>
          <w:sz w:val="18"/>
        </w:rPr>
        <w:t>Return rate: 2.79 returns per 1,000 MT received — the highest among ACCEPTABLE-rated suppliers. Raise informally.</w:t>
      </w:r>
    </w:p>
    <w:p>
      <w:pPr>
        <w:pStyle w:val="ListBullet"/>
        <w:spacing w:before="20" w:after="20"/>
      </w:pPr>
      <w:r>
        <w:rPr>
          <w:sz w:val="18"/>
        </w:rPr>
        <w:t>Confirmed returns: Rs 18.0L over 3 years (6 batches). Request a quality audit.</w:t>
      </w:r>
    </w:p>
    <w:p>
      <w:pPr>
        <w:pStyle w:val="ListBullet"/>
        <w:spacing w:before="20" w:after="20"/>
      </w:pPr>
      <w:r>
        <w:rPr>
          <w:sz w:val="18"/>
        </w:rPr>
        <w:t>No excess short-billing. Late delivery minimal (avg 1.7 days). These are positives — acknowledge them.</w:t>
      </w:r>
    </w:p>
    <w:p/>
    <w:p>
      <w:pPr>
        <w:spacing w:before="160" w:after="80"/>
      </w:pPr>
      <w:r>
        <w:rPr>
          <w:b/>
          <w:color w:val="7B3F00"/>
          <w:sz w:val="22"/>
        </w:rPr>
        <w:t>Suggested Actions — Next 6 Months</w:t>
      </w:r>
    </w:p>
    <w:p>
      <w:pPr>
        <w:pBdr>
          <w:bottom w:val="single" w:sz="6" w:color="7B3F00"/>
        </w:pBdr>
        <w:spacing w:after="80"/>
      </w:pPr>
    </w:p>
    <w:p>
      <w:pPr>
        <w:pStyle w:val="ListBullet"/>
        <w:spacing w:before="20" w:after="20"/>
      </w:pPr>
      <w:r>
        <w:rPr>
          <w:sz w:val="18"/>
        </w:rPr>
        <w:t>Raise the return rate informally in the next order discussion — not a formal claim.</w:t>
      </w:r>
    </w:p>
    <w:p>
      <w:pPr>
        <w:pStyle w:val="ListBullet"/>
        <w:spacing w:before="20" w:after="20"/>
      </w:pPr>
      <w:r>
        <w:rPr>
          <w:sz w:val="18"/>
        </w:rPr>
        <w:t>Ask for a price quote on MS Rods and HR Coils benchmarked against the panel — frame as routine procurement exercise.</w:t>
      </w:r>
    </w:p>
    <w:p>
      <w:pPr>
        <w:pStyle w:val="ListBullet"/>
        <w:spacing w:before="20" w:after="20"/>
      </w:pPr>
      <w:r>
        <w:rPr>
          <w:sz w:val="18"/>
        </w:rPr>
        <w:t>Request a material test certificate for the next two shipments.</w:t>
      </w:r>
    </w:p>
    <w:p>
      <w:pPr>
        <w:pStyle w:val="ListBullet"/>
        <w:spacing w:before="20" w:after="20"/>
      </w:pPr>
      <w:r>
        <w:rPr>
          <w:sz w:val="18"/>
        </w:rPr>
        <w:t>Monitor quarterly: if return rate exceeds 3.5 per 1,000 MT, escalate to formal review.</w:t>
      </w:r>
    </w:p>
    <w:p/>
    <w:p>
      <w:pPr>
        <w:spacing w:before="40" w:after="40"/>
      </w:pPr>
      <w:r>
        <w:rPr>
          <w:b w:val="0"/>
          <w:i/>
          <w:color w:val="666666"/>
          <w:sz w:val="16"/>
        </w:rPr>
        <w:t>Reference: Supplier_Evidence_Workbook.xlsx -&gt; Supplier_Impact and Returns_Confirmed (filter on VS16).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