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B3F00"/>
          <w:sz w:val="28"/>
        </w:rPr>
        <w:t>WATCH-LIST SUPPLIER — ONE-PAGER</w:t>
      </w:r>
    </w:p>
    <w:p>
      <w:pPr>
        <w:jc w:val="center"/>
      </w:pPr>
      <w:r>
        <w:rPr>
          <w:i/>
          <w:color w:val="555555"/>
          <w:sz w:val="18"/>
        </w:rPr>
        <w:t>Arora Traders, Pune  |  October 2026  |  CONFIDENTIAL</w:t>
      </w:r>
    </w:p>
    <w:p>
      <w:pPr>
        <w:pBdr>
          <w:bottom w:val="single" w:sz="6" w:color="7B3F00"/>
        </w:pBdr>
        <w:spacing w:after="80"/>
      </w:pPr>
    </w:p>
    <w:p>
      <w:pPr>
        <w:spacing w:before="40" w:after="40"/>
      </w:pPr>
      <w:r>
        <w:rPr>
          <w:b/>
          <w:i w:val="0"/>
          <w:color w:val="CC5500"/>
          <w:sz w:val="18"/>
        </w:rPr>
        <w:t>IMPORTANT: This is a WATCH-LIST brief. Evidence is weaker than for the three POOR-rated suppliers. No credit claims are made here. This document supports a conversation, not a formal charge-back.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255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 ID</w:t>
            </w:r>
          </w:p>
        </w:tc>
        <w:tc>
          <w:tcPr>
            <w:tcW w:type="dxa" w:w="255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Master categories</w:t>
            </w:r>
          </w:p>
        </w:tc>
        <w:tc>
          <w:tcPr>
            <w:tcW w:type="dxa" w:w="255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Credit terms</w:t>
            </w:r>
          </w:p>
        </w:tc>
      </w:tr>
      <w:tr>
        <w:tc>
          <w:tcPr>
            <w:tcW w:type="dxa" w:w="2550"/>
            <w:shd w:val="clear" w:color="auto" w:fill="FFF3E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Modern Metals</w:t>
            </w:r>
          </w:p>
        </w:tc>
        <w:tc>
          <w:tcPr>
            <w:tcW w:type="dxa" w:w="2550"/>
            <w:shd w:val="clear" w:color="auto" w:fill="FFF3E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VS17</w:t>
            </w:r>
          </w:p>
        </w:tc>
        <w:tc>
          <w:tcPr>
            <w:tcW w:type="dxa" w:w="2550"/>
            <w:shd w:val="clear" w:color="auto" w:fill="FFF3E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ERW Pipes</w:t>
            </w:r>
          </w:p>
        </w:tc>
        <w:tc>
          <w:tcPr>
            <w:tcW w:type="dxa" w:w="2550"/>
            <w:shd w:val="clear" w:color="auto" w:fill="FFF3E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45 days</w:t>
            </w:r>
          </w:p>
        </w:tc>
      </w:tr>
    </w:tbl>
    <w:p/>
    <w:p>
      <w:pPr>
        <w:spacing w:before="160" w:after="80"/>
      </w:pPr>
      <w:r>
        <w:rPr>
          <w:b/>
          <w:color w:val="7B3F00"/>
          <w:sz w:val="22"/>
        </w:rPr>
        <w:t>Performance Summary</w:t>
      </w:r>
    </w:p>
    <w:p>
      <w:pPr>
        <w:pBdr>
          <w:bottom w:val="single" w:sz="6" w:color="7B3F00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Modern Metals</w:t>
            </w:r>
          </w:p>
        </w:tc>
        <w:tc>
          <w:tcPr>
            <w:tcW w:type="dxa" w:w="34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Context</w:t>
            </w:r>
          </w:p>
        </w:tc>
      </w:tr>
      <w:tr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 count / total billed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123 POs  |  Rs 25.82 Cr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Headline loss (A*+B+C+D)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Rs 28.7L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 Rs 3.42 Cr for worst-rated supplier</w:t>
            </w:r>
          </w:p>
        </w:tc>
      </w:tr>
      <w:tr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Confirmed returns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Rs 19.9L  (6 returns)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Price vs panel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-1.69%%  z = -0.75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statistically significant</w:t>
            </w:r>
          </w:p>
        </w:tc>
      </w:tr>
      <w:tr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Avg delivery delay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1.5 days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Low — not a concern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 per 1,000 MT received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2.95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Elevated vs most ACCEPTABLE suppliers</w:t>
            </w:r>
          </w:p>
        </w:tc>
      </w:tr>
    </w:tbl>
    <w:p/>
    <w:p>
      <w:pPr>
        <w:spacing w:before="160" w:after="80"/>
      </w:pPr>
      <w:r>
        <w:rPr>
          <w:b/>
          <w:color w:val="7B3F00"/>
          <w:sz w:val="22"/>
        </w:rPr>
        <w:t>Conversation Points (not claims)</w:t>
      </w:r>
    </w:p>
    <w:p>
      <w:pPr>
        <w:pBdr>
          <w:bottom w:val="single" w:sz="6" w:color="7B3F00"/>
        </w:pBdr>
        <w:spacing w:after="80"/>
      </w:pPr>
    </w:p>
    <w:p>
      <w:pPr>
        <w:pStyle w:val="ListBullet"/>
        <w:spacing w:before="20" w:after="20"/>
      </w:pPr>
      <w:r>
        <w:rPr>
          <w:sz w:val="18"/>
        </w:rPr>
        <w:t>Return rate: 2.95 returns per 1,000 MT received — second-highest among ACCEPTABLE-rated suppliers.</w:t>
      </w:r>
    </w:p>
    <w:p>
      <w:pPr>
        <w:pStyle w:val="ListBullet"/>
        <w:spacing w:before="20" w:after="20"/>
      </w:pPr>
      <w:r>
        <w:rPr>
          <w:sz w:val="18"/>
        </w:rPr>
        <w:t>Confirmed returns: Rs 19.9L over 3 years (6 batches), concentrated in ERW Pipes.</w:t>
      </w:r>
    </w:p>
    <w:p>
      <w:pPr>
        <w:pStyle w:val="ListBullet"/>
        <w:spacing w:before="20" w:after="20"/>
      </w:pPr>
      <w:r>
        <w:rPr>
          <w:sz w:val="18"/>
        </w:rPr>
        <w:t>Excess short-billing: Rs 0.6L — small but present. Worth monitoring.</w:t>
      </w:r>
    </w:p>
    <w:p>
      <w:pPr>
        <w:pStyle w:val="ListBullet"/>
        <w:spacing w:before="20" w:after="20"/>
      </w:pPr>
      <w:r>
        <w:rPr>
          <w:sz w:val="18"/>
        </w:rPr>
        <w:t>Price is below panel average — not a concern. Late delivery minimal. These are positives.</w:t>
      </w:r>
    </w:p>
    <w:p>
      <w:pPr>
        <w:pStyle w:val="ListBullet"/>
        <w:spacing w:before="20" w:after="20"/>
      </w:pPr>
      <w:r>
        <w:rPr>
          <w:sz w:val="18"/>
        </w:rPr>
        <w:t>Note: Modern Metals is registered only for ERW Pipes. VS19 (POOR, also ERW Pipes) is being reviewed; consider qualifying a second ERW Pipes supplier for redundancy.</w:t>
      </w:r>
    </w:p>
    <w:p/>
    <w:p>
      <w:pPr>
        <w:spacing w:before="160" w:after="80"/>
      </w:pPr>
      <w:r>
        <w:rPr>
          <w:b/>
          <w:color w:val="7B3F00"/>
          <w:sz w:val="22"/>
        </w:rPr>
        <w:t>Suggested Actions — Next 6 Months</w:t>
      </w:r>
    </w:p>
    <w:p>
      <w:pPr>
        <w:pBdr>
          <w:bottom w:val="single" w:sz="6" w:color="7B3F00"/>
        </w:pBdr>
        <w:spacing w:after="80"/>
      </w:pPr>
    </w:p>
    <w:p>
      <w:pPr>
        <w:pStyle w:val="ListBullet"/>
        <w:spacing w:before="20" w:after="20"/>
      </w:pPr>
      <w:r>
        <w:rPr>
          <w:sz w:val="18"/>
        </w:rPr>
        <w:t>Raise the return rate informally in the next order discussion — not a formal claim.</w:t>
      </w:r>
    </w:p>
    <w:p>
      <w:pPr>
        <w:pStyle w:val="ListBullet"/>
        <w:spacing w:before="20" w:after="20"/>
      </w:pPr>
      <w:r>
        <w:rPr>
          <w:sz w:val="18"/>
        </w:rPr>
        <w:t>Request a material test certificate for the next two shipments.</w:t>
      </w:r>
    </w:p>
    <w:p>
      <w:pPr>
        <w:pStyle w:val="ListBullet"/>
        <w:spacing w:before="20" w:after="20"/>
      </w:pPr>
      <w:r>
        <w:rPr>
          <w:sz w:val="18"/>
        </w:rPr>
        <w:t>Monitor quarterly: if return rate exceeds 3.5 per 1,000 MT, escalate to formal review.</w:t>
      </w:r>
    </w:p>
    <w:p/>
    <w:p>
      <w:pPr>
        <w:spacing w:before="40" w:after="40"/>
      </w:pPr>
      <w:r>
        <w:rPr>
          <w:b w:val="0"/>
          <w:i/>
          <w:color w:val="666666"/>
          <w:sz w:val="16"/>
        </w:rPr>
        <w:t>Reference: Supplier_Evidence_Workbook.xlsx -&gt; Supplier_Impact and Returns_Confirmed (filter on VS17).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