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120"/>
        <w:jc w:val="center"/>
      </w:pPr>
      <w:r>
        <w:rPr>
          <w:rFonts w:ascii="Times New Roman" w:hAnsi="Times New Roman"/>
          <w:b/>
          <w:sz w:val="36"/>
        </w:rPr>
        <w:t xml:space="preserve">PomeGuard: A Multi-Agent Autonomous System for Non-Destructive Phytochemical Inference and Disease Classification in Bhagwa Pomegranate Horticulture</w:t>
      </w:r>
    </w:p>
    <w:p>
      <w:pPr>
        <w:pStyle w:val="Author"/>
        <w:spacing w:before="0" w:after="0" w:line="260" w:lineRule="exact"/>
        <w:jc w:val="both"/>
      </w:pPr>
      <w:r>
        <w:rPr>
          <w:rFonts w:ascii="Times New Roman" w:hAnsi="Times New Roman"/>
          <w:b w:val="0"/>
          <w:sz w:val="22"/>
        </w:rPr>
        <w:t xml:space="preserve">Aryan Madhav Jadile</w:t>
      </w:r>
    </w:p>
    <w:p>
      <w:pPr>
        <w:pStyle w:val="Author"/>
        <w:spacing w:before="0" w:after="0" w:line="260" w:lineRule="exact"/>
        <w:jc w:val="both"/>
      </w:pPr>
      <w:r>
        <w:rPr>
          <w:rFonts w:ascii="Times New Roman" w:hAnsi="Times New Roman"/>
          <w:b w:val="0"/>
          <w:sz w:val="22"/>
        </w:rPr>
        <w:t xml:space="preserve">Umesh Dnyanoba Wakadkar</w:t>
      </w:r>
    </w:p>
    <w:p>
      <w:pPr>
        <w:pStyle w:val="Author"/>
        <w:spacing w:before="0" w:after="0" w:line="260" w:lineRule="exact"/>
        <w:jc w:val="both"/>
      </w:pPr>
      <w:r>
        <w:rPr>
          <w:rFonts w:ascii="Times New Roman" w:hAnsi="Times New Roman"/>
          <w:b w:val="0"/>
          <w:sz w:val="22"/>
        </w:rPr>
        <w:t xml:space="preserve">Suvarna Bahir (Corresponding Author)</w:t>
      </w:r>
    </w:p>
    <w:p>
      <w:pPr>
        <w:pStyle w:val="Author"/>
        <w:spacing w:before="0" w:after="0" w:line="260" w:lineRule="exact"/>
        <w:jc w:val="both"/>
      </w:pPr>
      <w:r>
        <w:rPr>
          <w:rFonts w:ascii="Times New Roman" w:hAnsi="Times New Roman"/>
          <w:b w:val="0"/>
          <w:sz w:val="22"/>
        </w:rPr>
        <w:t xml:space="preserve">Pushkar Dattatray Shedge</w:t>
      </w:r>
    </w:p>
    <w:p>
      <w:pPr>
        <w:pStyle w:val="Author"/>
        <w:spacing w:before="0" w:after="0" w:line="260" w:lineRule="exact"/>
        <w:jc w:val="both"/>
      </w:pPr>
      <w:r>
        <w:rPr>
          <w:rFonts w:ascii="Times New Roman" w:hAnsi="Times New Roman"/>
          <w:b w:val="0"/>
          <w:sz w:val="22"/>
        </w:rPr>
        <w:t xml:space="preserve">Shreekar Santos Varpe</w:t>
      </w:r>
    </w:p>
    <w:p>
      <w:pPr>
        <w:pStyle w:val="Date"/>
        <w:jc w:val="both"/>
      </w:pPr>
      <w:r>
        <w:rPr>
          <w:rFonts w:ascii="Times New Roman" w:hAnsi="Times New Roman"/>
          <w:sz w:val="20"/>
        </w:rPr>
        <w:t xml:space="preserve">April 2026</w:t>
      </w:r>
    </w:p>
    <w:p>
      <w:pPr>
        <w:pStyle w:val="AbstractTitle"/>
        <w:jc w:val="both"/>
      </w:pPr>
      <w:r>
        <w:rPr>
          <w:rFonts w:ascii="Times New Roman" w:hAnsi="Times New Roman"/>
          <w:sz w:val="20"/>
        </w:rPr>
        <w:t xml:space="preserve">Abstract</w:t>
      </w:r>
    </w:p>
    <w:p>
      <w:pPr>
        <w:pStyle w:val="Abstract"/>
        <w:jc w:val="both"/>
      </w:pPr>
      <w:r>
        <w:rPr>
          <w:rFonts w:ascii="Times New Roman" w:hAnsi="Times New Roman"/>
          <w:sz w:val="20"/>
        </w:rPr>
        <w:t xml:space="preserve">Maharashtra’s Bhagwa pomegranate commands premium prices in domestic and export markets when its internal phytochemical quality—principally Anthocyanins, Punicalagins, and Ellagic Acid—remains intact postharvest. Four fungal and bacterial pathogens—Bacterial Blight (Telya), Anthracnose, Cercospora Fruit Spot, and Alternaria Fruit Spot—cause 30–40% annual yield and quality losses, degrading these compounds through biochemical cascades that are invisible to unaided external inspection. Current quality assessment relies on destructive laboratory analysis (HPLC), which takes 48–72 hours, costs Rs.~1,200–2,500 per sample, and operates at timescales incompatible with field-level decision-making during harvest. PomeGuard is a non-destructive agricultural intelligence system that infers internal phytochemical compound status from standard fruit imagery and manually supplied environmental readings, without laboratory sampling. The system integrates three technical layers: a fine-tuned EfficientNetB0 convolutional network for disease classification; an OWL</w:t>
      </w:r>
      <w:r>
        <w:rPr>
          <w:rFonts w:ascii="Times New Roman" w:hAnsi="Times New Roman"/>
          <w:sz w:val="20"/>
          <w:vertAlign w:val="subscript"/>
        </w:rPr>
        <w:t xml:space="preserve">2</w:t>
      </w:r>
      <w:r>
        <w:rPr>
          <w:rFonts w:ascii="Times New Roman" w:hAnsi="Times New Roman"/>
          <w:sz w:val="20"/>
        </w:rPr>
        <w:t xml:space="preserve">DL knowledge ontology encoding expert-validated biochemical degradation relationships between disease, environmental stress, and phytochemical compound status; and a LangGraph StateGraph multi-agent architecture providing stateful, fault-tolerant orchestration of the full inference pipeline. Evaluated on the 5,099-image Pakruddin et al. Karnataka pomegranate dataset across five disease categories, the vision component achieved an overall F1-score of 98.9%, with per-class F1 ranging from 98.3% (Cercospora Fruit Spot) to 99.7% (Healthy) and per-class AUC above 0.996 on all classes. The ontology-driven phytochemical inference layer translates disease and environmental signals into degradation estimates for Anthocyanins, Punicalagins, and Ellagic Acid without any laboratory measurement. Three principal contributions are presented: (1) a fine-tuned EfficientNetB0 pipeline achieving 98.9% overall F1-score across five pomegranate disease classes; (2) an OWL</w:t>
      </w:r>
      <w:r>
        <w:rPr>
          <w:rFonts w:ascii="Times New Roman" w:hAnsi="Times New Roman"/>
          <w:sz w:val="20"/>
          <w:vertAlign w:val="subscript"/>
        </w:rPr>
        <w:t xml:space="preserve">2</w:t>
      </w:r>
      <w:r>
        <w:rPr>
          <w:rFonts w:ascii="Times New Roman" w:hAnsi="Times New Roman"/>
          <w:sz w:val="20"/>
        </w:rPr>
        <w:t xml:space="preserve">DL ontology with domain-expert-encoded inference rules mapping disease severity and environmental stress to phytochemical compound degradation profiles; and (3) a LangGraph StateGraph multi-agent architecture providing modular, stateful coordination of vision, environmental, ontological, and reporting agents into a single non-destructive inference pipeline.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sectPr>
          <w:footerReference w:type="default" r:id="rId9"/>
          <w:type w:val="continuous"/>
          <w:pgSz w:w="12240" w:h="15840"/>
          <w:pgMar w:top="1440" w:right="1080" w:bottom="1440" w:left="1080" w:header="720" w:footer="720" w:gutter="0"/>
          <w:cols w:num="1" w:space="720"/>
        </w:sectPr>
      </w:pPr>
      <w:r>
        <w:rPr>
          <w:b/>
          <w:bCs/>
        </w:rPr>
        <w:t xml:space="preserve">Keywords:</w:t>
      </w:r>
      <w:r>
        <w:t xml:space="preserve"> </w:t>
      </w:r>
      <w:r>
        <w:t xml:space="preserve">pomegranate disease detection, phytochemical inference, EfficientNetB0, OWL ontology, SWRL reasoning, LangGraph, multi-agent systems, precision horticulture, non-destructive testing, Bhagwa variety</w:t>
      </w:r>
    </w:p>
    <w:bookmarkStart w:id="9" w:name="sec:intro"/>
    <w:p>
      <w:pPr>
        <w:pStyle w:val="Heading1"/>
      </w:pPr>
      <w:r>
        <w:t xml:space="preserve">Introduction</w:t>
      </w:r>
    </w:p>
    <w:p>
      <w:pPr>
        <w:pStyle w:val="FirstParagraph"/>
      </w:pPr>
      <w:r>
        <w:t xml:space="preserve">Bhagwa pomegranate (</w:t>
      </w:r>
      <w:r>
        <w:rPr>
          <w:i/>
          <w:iCs/>
        </w:rPr>
        <w:t xml:space="preserve">Punica granatum</w:t>
      </w:r>
      <w:r>
        <w:t xml:space="preserve"> L. cv. Bhagwa) is Maharashtra’s</w:t>
      </w:r>
      <w:r>
        <w:t xml:space="preserve"> </w:t>
      </w:r>
      <w:r>
        <w:t xml:space="preserve">highest-value horticultural export commodity, with the state accounting</w:t>
      </w:r>
      <w:r>
        <w:t xml:space="preserve"> </w:t>
      </w:r>
      <w:r>
        <w:t xml:space="preserve">for approximately 70% of India’s total pomegranate production (Indian</w:t>
      </w:r>
      <w:r>
        <w:t xml:space="preserve"> </w:t>
      </w:r>
      <w:r>
        <w:t xml:space="preserve">Council of Agricultural Research (ICAR) 2023). The variety is prized for</w:t>
      </w:r>
      <w:r>
        <w:t xml:space="preserve"> </w:t>
      </w:r>
      <w:r>
        <w:t xml:space="preserve">its deep crimson arils, low tannin content, and—critically—its</w:t>
      </w:r>
      <w:r>
        <w:t xml:space="preserve"> </w:t>
      </w:r>
      <w:r>
        <w:t xml:space="preserve">exceptionally high concentrations of bioactive polyphenols: Punicalagins</w:t>
      </w:r>
      <w:r>
        <w:t xml:space="preserve"> </w:t>
      </w:r>
      <w:r>
        <w:t xml:space="preserve">(reported at 75–250 mg/100 g of fresh juice), Ellagic Acid, and</w:t>
      </w:r>
      <w:r>
        <w:t xml:space="preserve"> </w:t>
      </w:r>
      <w:r>
        <w:t xml:space="preserve">Anthocyanins (Gil et al. 2000). These are not incidental attributes.</w:t>
      </w:r>
      <w:r>
        <w:t xml:space="preserve"> </w:t>
      </w:r>
      <w:r>
        <w:t xml:space="preserve">Buyers in Middle Eastern, European, and East Asian export markets pay</w:t>
      </w:r>
      <w:r>
        <w:t xml:space="preserve"> </w:t>
      </w:r>
      <w:r>
        <w:t xml:space="preserve">measurably higher premiums when compound concentrations fall above</w:t>
      </w:r>
      <w:r>
        <w:t xml:space="preserve"> </w:t>
      </w:r>
      <w:r>
        <w:t xml:space="preserve">grade-A thresholds, and these same compounds govern much of the Bhagwa’s</w:t>
      </w:r>
      <w:r>
        <w:t xml:space="preserve"> </w:t>
      </w:r>
      <w:r>
        <w:t xml:space="preserve">documented anticancer, anti-inflammatory, and cardioprotective activity</w:t>
      </w:r>
      <w:r>
        <w:t xml:space="preserve"> </w:t>
      </w:r>
      <w:r>
        <w:t xml:space="preserve">(Aviram et al. 2000; Cerdá et al. 2005).</w:t>
      </w:r>
    </w:p>
    <w:p>
      <w:pPr>
        <w:pStyle w:val="BodyText"/>
        <w:jc w:val="both"/>
      </w:pPr>
      <w:r>
        <w:rPr>
          <w:rFonts w:ascii="Times New Roman" w:hAnsi="Times New Roman"/>
          <w:sz w:val="20"/>
        </w:rPr>
        <w:t xml:space="preserve">Four pathogens drive the majority of economic loss. Bacterial Blight</w:t>
      </w:r>
      <w:r>
        <w:rPr>
          <w:rFonts w:ascii="Times New Roman" w:hAnsi="Times New Roman"/>
          <w:sz w:val="20"/>
        </w:rPr>
        <w:t xml:space="preserve"> </w:t>
      </w:r>
      <w:r>
        <w:rPr>
          <w:rFonts w:ascii="Times New Roman" w:hAnsi="Times New Roman"/>
          <w:sz w:val="20"/>
        </w:rPr>
        <w:t xml:space="preserve">(</w:t>
      </w:r>
      <w:r>
        <w:rPr>
          <w:i/>
          <w:iCs/>
        </w:rPr>
        <w:t xml:space="preserve">Xanthomonas axonopodis</w:t>
      </w:r>
      <w:r>
        <w:rPr>
          <w:rFonts w:ascii="Times New Roman" w:hAnsi="Times New Roman"/>
          <w:sz w:val="20"/>
        </w:rPr>
        <w:t xml:space="preserve"> </w:t>
      </w:r>
      <w:r>
        <w:rPr>
          <w:rFonts w:ascii="Times New Roman" w:hAnsi="Times New Roman"/>
          <w:sz w:val="20"/>
        </w:rPr>
        <w:t xml:space="preserve">pv. </w:t>
      </w:r>
      <w:r>
        <w:rPr>
          <w:i/>
          <w:iCs/>
        </w:rPr>
        <w:t xml:space="preserve">punicae</w:t>
      </w:r>
      <w:r>
        <w:rPr>
          <w:rFonts w:ascii="Times New Roman" w:hAnsi="Times New Roman"/>
          <w:sz w:val="20"/>
        </w:rPr>
        <w:t xml:space="preserve">)—known locally as</w:t>
      </w:r>
      <w:r>
        <w:rPr>
          <w:rFonts w:ascii="Times New Roman" w:hAnsi="Times New Roman"/>
          <w:sz w:val="20"/>
        </w:rPr>
        <w:t xml:space="preserve"> </w:t>
      </w:r>
      <w:r>
        <w:rPr>
          <w:i/>
          <w:iCs/>
        </w:rPr>
        <w:t xml:space="preserve">Telya</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literally</w:t>
      </w:r>
      <w:r>
        <w:rPr>
          <w:rFonts w:ascii="Times New Roman" w:hAnsi="Times New Roman"/>
          <w:sz w:val="20"/>
        </w:rPr>
        <w:t xml:space="preserve"> </w:t>
      </w:r>
      <w:r>
        <w:rPr>
          <w:rFonts w:ascii="Times New Roman" w:hAnsi="Times New Roman"/>
          <w:sz w:val="20"/>
        </w:rPr>
        <w:t xml:space="preserve">“oily disease”</w:t>
      </w:r>
      <w:r>
        <w:rPr>
          <w:rFonts w:ascii="Times New Roman" w:hAnsi="Times New Roman"/>
          <w:sz w:val="20"/>
        </w:rPr>
        <w:t xml:space="preserve">—causes necrotic lesions that penetrate the</w:t>
      </w:r>
      <w:r>
        <w:rPr>
          <w:rFonts w:ascii="Times New Roman" w:hAnsi="Times New Roman"/>
          <w:sz w:val="20"/>
        </w:rPr>
        <w:t xml:space="preserve"> </w:t>
      </w:r>
      <w:r>
        <w:rPr>
          <w:rFonts w:ascii="Times New Roman" w:hAnsi="Times New Roman"/>
          <w:sz w:val="20"/>
        </w:rPr>
        <w:t xml:space="preserve">rind and trigger enzymatic Anthocyanin oxidation. Anthracnose</w:t>
      </w:r>
      <w:r>
        <w:rPr>
          <w:rFonts w:ascii="Times New Roman" w:hAnsi="Times New Roman"/>
          <w:sz w:val="20"/>
        </w:rPr>
        <w:t xml:space="preserve"> </w:t>
      </w:r>
      <w:r>
        <w:rPr>
          <w:rFonts w:ascii="Times New Roman" w:hAnsi="Times New Roman"/>
          <w:sz w:val="20"/>
        </w:rPr>
        <w:t xml:space="preserve">(</w:t>
      </w:r>
      <w:r>
        <w:rPr>
          <w:i/>
          <w:iCs/>
        </w:rPr>
        <w:t xml:space="preserve">Colletotrichum gloeosporioides</w:t>
      </w:r>
      <w:r>
        <w:rPr>
          <w:rFonts w:ascii="Times New Roman" w:hAnsi="Times New Roman"/>
          <w:sz w:val="20"/>
        </w:rPr>
        <w:t xml:space="preserve">) disrupts ascorbic acid metabolism and</w:t>
      </w:r>
      <w:r>
        <w:rPr>
          <w:rFonts w:ascii="Times New Roman" w:hAnsi="Times New Roman"/>
          <w:sz w:val="20"/>
        </w:rPr>
        <w:t xml:space="preserve"> </w:t>
      </w:r>
      <w:r>
        <w:rPr>
          <w:rFonts w:ascii="Times New Roman" w:hAnsi="Times New Roman"/>
          <w:sz w:val="20"/>
        </w:rPr>
        <w:t xml:space="preserve">suppresses Ellagic Acid biosynthesis. Cercospora Fruit Spot (</w:t>
      </w:r>
      <w:r>
        <w:rPr>
          <w:i/>
          <w:iCs/>
        </w:rPr>
        <w:t xml:space="preserve">Cercospora</w:t>
      </w:r>
      <w:r>
        <w:rPr>
          <w:i/>
          <w:iCs/>
        </w:rPr>
        <w:t xml:space="preserve"> </w:t>
      </w:r>
      <w:r>
        <w:rPr>
          <w:i/>
          <w:iCs/>
        </w:rPr>
        <w:t xml:space="preserve">punicae</w:t>
      </w:r>
      <w:r>
        <w:rPr>
          <w:rFonts w:ascii="Times New Roman" w:hAnsi="Times New Roman"/>
          <w:sz w:val="20"/>
        </w:rPr>
        <w:t xml:space="preserve">) and Alternaria Fruit Spot (</w:t>
      </w:r>
      <w:r>
        <w:rPr>
          <w:i/>
          <w:iCs/>
        </w:rPr>
        <w:t xml:space="preserve">Alternaria alternata</w:t>
      </w:r>
      <w:r>
        <w:rPr>
          <w:rFonts w:ascii="Times New Roman" w:hAnsi="Times New Roman"/>
          <w:sz w:val="20"/>
        </w:rPr>
        <w:t xml:space="preserve">) cause</w:t>
      </w:r>
      <w:r>
        <w:rPr>
          <w:rFonts w:ascii="Times New Roman" w:hAnsi="Times New Roman"/>
          <w:sz w:val="20"/>
        </w:rPr>
        <w:t xml:space="preserve"> </w:t>
      </w:r>
      <w:r>
        <w:rPr>
          <w:rFonts w:ascii="Times New Roman" w:hAnsi="Times New Roman"/>
          <w:sz w:val="20"/>
        </w:rPr>
        <w:t xml:space="preserve">compounding stress that further reduces Punicalagin concentrations</w:t>
      </w:r>
      <w:r>
        <w:rPr>
          <w:rFonts w:ascii="Times New Roman" w:hAnsi="Times New Roman"/>
          <w:sz w:val="20"/>
        </w:rPr>
        <w:t xml:space="preserve"> </w:t>
      </w:r>
      <w:r>
        <w:rPr>
          <w:rFonts w:ascii="Times New Roman" w:hAnsi="Times New Roman"/>
          <w:sz w:val="20"/>
        </w:rPr>
        <w:t xml:space="preserve">through oxidative cascade (Sharma et al. 2017). Collectively, these</w:t>
      </w:r>
      <w:r>
        <w:rPr>
          <w:rFonts w:ascii="Times New Roman" w:hAnsi="Times New Roman"/>
          <w:sz w:val="20"/>
        </w:rPr>
        <w:t xml:space="preserve"> </w:t>
      </w:r>
      <w:r>
        <w:rPr>
          <w:rFonts w:ascii="Times New Roman" w:hAnsi="Times New Roman"/>
          <w:sz w:val="20"/>
        </w:rPr>
        <w:t xml:space="preserve">diseases cause 30–40% annual yield and quality losses across</w:t>
      </w:r>
      <w:r>
        <w:rPr>
          <w:rFonts w:ascii="Times New Roman" w:hAnsi="Times New Roman"/>
          <w:sz w:val="20"/>
        </w:rPr>
        <w:t xml:space="preserve"> </w:t>
      </w:r>
      <w:r>
        <w:rPr>
          <w:rFonts w:ascii="Times New Roman" w:hAnsi="Times New Roman"/>
          <w:sz w:val="20"/>
        </w:rPr>
        <w:t xml:space="preserve">Maharashtra’s key producing districts of Solapur, Sangli, Nashik, and</w:t>
      </w:r>
      <w:r>
        <w:rPr>
          <w:rFonts w:ascii="Times New Roman" w:hAnsi="Times New Roman"/>
          <w:sz w:val="20"/>
        </w:rPr>
        <w:t xml:space="preserve"> </w:t>
      </w:r>
      <w:r>
        <w:rPr>
          <w:rFonts w:ascii="Times New Roman" w:hAnsi="Times New Roman"/>
          <w:sz w:val="20"/>
        </w:rPr>
        <w:t xml:space="preserve">Pune (Indian Council of Agricultural Research (ICAR) 2023).</w:t>
      </w:r>
    </w:p>
    <w:p>
      <w:pPr>
        <w:pStyle w:val="BodyText"/>
        <w:jc w:val="both"/>
      </w:pPr>
      <w:r>
        <w:rPr>
          <w:rFonts w:ascii="Times New Roman" w:hAnsi="Times New Roman"/>
          <w:sz w:val="20"/>
        </w:rPr>
        <w:t xml:space="preserve">The critical gap is not the absence of disease detection systems; it is</w:t>
      </w:r>
      <w:r>
        <w:rPr>
          <w:rFonts w:ascii="Times New Roman" w:hAnsi="Times New Roman"/>
          <w:sz w:val="20"/>
        </w:rPr>
        <w:t xml:space="preserve"> </w:t>
      </w:r>
      <w:r>
        <w:rPr>
          <w:rFonts w:ascii="Times New Roman" w:hAnsi="Times New Roman"/>
          <w:sz w:val="20"/>
        </w:rPr>
        <w:t xml:space="preserve">their silence about internal consequence. Remotely sensing that a fruit</w:t>
      </w:r>
      <w:r>
        <w:rPr>
          <w:rFonts w:ascii="Times New Roman" w:hAnsi="Times New Roman"/>
          <w:sz w:val="20"/>
        </w:rPr>
        <w:t xml:space="preserve"> </w:t>
      </w:r>
      <w:r>
        <w:rPr>
          <w:rFonts w:ascii="Times New Roman" w:hAnsi="Times New Roman"/>
          <w:sz w:val="20"/>
        </w:rPr>
        <w:t xml:space="preserve">has Anthracnose at the field level does not tell a packinghouse</w:t>
      </w:r>
      <w:r>
        <w:rPr>
          <w:rFonts w:ascii="Times New Roman" w:hAnsi="Times New Roman"/>
          <w:sz w:val="20"/>
        </w:rPr>
        <w:t xml:space="preserve"> </w:t>
      </w:r>
      <w:r>
        <w:rPr>
          <w:rFonts w:ascii="Times New Roman" w:hAnsi="Times New Roman"/>
          <w:sz w:val="20"/>
        </w:rPr>
        <w:t xml:space="preserve">supervisor how far its Punicalagin content has dropped, or whether the</w:t>
      </w:r>
      <w:r>
        <w:rPr>
          <w:rFonts w:ascii="Times New Roman" w:hAnsi="Times New Roman"/>
          <w:sz w:val="20"/>
        </w:rPr>
        <w:t xml:space="preserve"> </w:t>
      </w:r>
      <w:r>
        <w:rPr>
          <w:rFonts w:ascii="Times New Roman" w:hAnsi="Times New Roman"/>
          <w:sz w:val="20"/>
        </w:rPr>
        <w:t xml:space="preserve">lot is still exportable. That question currently requires HPLC</w:t>
      </w:r>
      <w:r>
        <w:rPr>
          <w:rFonts w:ascii="Times New Roman" w:hAnsi="Times New Roman"/>
          <w:sz w:val="20"/>
        </w:rPr>
        <w:t xml:space="preserve"> </w:t>
      </w:r>
      <w:r>
        <w:rPr>
          <w:rFonts w:ascii="Times New Roman" w:hAnsi="Times New Roman"/>
          <w:sz w:val="20"/>
        </w:rPr>
        <w:t xml:space="preserve">analysis—48–72 hours, expert laboratory access, and costs that make</w:t>
      </w:r>
      <w:r>
        <w:rPr>
          <w:rFonts w:ascii="Times New Roman" w:hAnsi="Times New Roman"/>
          <w:sz w:val="20"/>
        </w:rPr>
        <w:t xml:space="preserve"> </w:t>
      </w:r>
      <w:r>
        <w:rPr>
          <w:rFonts w:ascii="Times New Roman" w:hAnsi="Times New Roman"/>
          <w:sz w:val="20"/>
        </w:rPr>
        <w:t xml:space="preserve">per-lot sampling economically prohibitive for smallholder farms of 2–8</w:t>
      </w:r>
      <w:r>
        <w:rPr>
          <w:rFonts w:ascii="Times New Roman" w:hAnsi="Times New Roman"/>
          <w:sz w:val="20"/>
        </w:rPr>
        <w:t xml:space="preserve"> </w:t>
      </w:r>
      <w:r>
        <w:rPr>
          <w:rFonts w:ascii="Times New Roman" w:hAnsi="Times New Roman"/>
          <w:sz w:val="20"/>
        </w:rPr>
        <w:t xml:space="preserve">acres that constitute the majority of Maharashtra’s pomegranate growers.</w:t>
      </w:r>
      <w:r>
        <w:rPr>
          <w:rFonts w:ascii="Times New Roman" w:hAnsi="Times New Roman"/>
          <w:sz w:val="20"/>
        </w:rPr>
        <w:t xml:space="preserve"> </w:t>
      </w:r>
      <w:r>
        <w:rPr>
          <w:rFonts w:ascii="Times New Roman" w:hAnsi="Times New Roman"/>
          <w:sz w:val="20"/>
        </w:rPr>
        <w:t xml:space="preserve">Most farmers make harvesting and sorting decisions entirely by eye with</w:t>
      </w:r>
      <w:r>
        <w:rPr>
          <w:rFonts w:ascii="Times New Roman" w:hAnsi="Times New Roman"/>
          <w:sz w:val="20"/>
        </w:rPr>
        <w:t xml:space="preserve"> </w:t>
      </w:r>
      <w:r>
        <w:rPr>
          <w:rFonts w:ascii="Times New Roman" w:hAnsi="Times New Roman"/>
          <w:sz w:val="20"/>
        </w:rPr>
        <w:t xml:space="preserve">no data on internal phytochemical status.</w:t>
      </w:r>
    </w:p>
    <w:p>
      <w:pPr>
        <w:pStyle w:val="BodyText"/>
        <w:jc w:val="both"/>
      </w:pPr>
      <w:r>
        <w:rPr>
          <w:rFonts w:ascii="Times New Roman" w:hAnsi="Times New Roman"/>
          <w:sz w:val="20"/>
        </w:rPr>
        <w:t xml:space="preserve">PomeGuard was designed to address this gap directly. Given a standard</w:t>
      </w:r>
      <w:r>
        <w:rPr>
          <w:rFonts w:ascii="Times New Roman" w:hAnsi="Times New Roman"/>
          <w:sz w:val="20"/>
        </w:rPr>
        <w:t xml:space="preserve"> </w:t>
      </w:r>
      <w:r>
        <w:rPr>
          <w:rFonts w:ascii="Times New Roman" w:hAnsi="Times New Roman"/>
          <w:sz w:val="20"/>
        </w:rPr>
        <w:t xml:space="preserve">smartphone photograph of a pomegranate fruit and manually entered</w:t>
      </w:r>
      <w:r>
        <w:rPr>
          <w:rFonts w:ascii="Times New Roman" w:hAnsi="Times New Roman"/>
          <w:sz w:val="20"/>
        </w:rPr>
        <w:t xml:space="preserve"> </w:t>
      </w:r>
      <w:r>
        <w:rPr>
          <w:rFonts w:ascii="Times New Roman" w:hAnsi="Times New Roman"/>
          <w:sz w:val="20"/>
        </w:rPr>
        <w:t xml:space="preserve">environmental readings—temperature, relative humidity, UV</w:t>
      </w:r>
      <w:r>
        <w:rPr>
          <w:rFonts w:ascii="Times New Roman" w:hAnsi="Times New Roman"/>
          <w:sz w:val="20"/>
        </w:rPr>
        <w:t xml:space="preserve"> </w:t>
      </w:r>
      <w:r>
        <w:rPr>
          <w:rFonts w:ascii="Times New Roman" w:hAnsi="Times New Roman"/>
          <w:sz w:val="20"/>
        </w:rPr>
        <w:t xml:space="preserve">irradiance—the system classifies the disease state, contextualises the</w:t>
      </w:r>
      <w:r>
        <w:rPr>
          <w:rFonts w:ascii="Times New Roman" w:hAnsi="Times New Roman"/>
          <w:sz w:val="20"/>
        </w:rPr>
        <w:t xml:space="preserve"> </w:t>
      </w:r>
      <w:r>
        <w:rPr>
          <w:rFonts w:ascii="Times New Roman" w:hAnsi="Times New Roman"/>
          <w:sz w:val="20"/>
        </w:rPr>
        <w:t xml:space="preserve">environmental stress, and then uses an OWL 2 DL knowledge ontology to</w:t>
      </w:r>
      <w:r>
        <w:rPr>
          <w:rFonts w:ascii="Times New Roman" w:hAnsi="Times New Roman"/>
          <w:sz w:val="20"/>
        </w:rPr>
        <w:t xml:space="preserve"> </w:t>
      </w:r>
      <w:r>
        <w:rPr>
          <w:rFonts w:ascii="Times New Roman" w:hAnsi="Times New Roman"/>
          <w:sz w:val="20"/>
        </w:rPr>
        <w:t xml:space="preserve">infer the probable degradation status of each key phytochemical compound</w:t>
      </w:r>
      <w:r>
        <w:rPr>
          <w:rFonts w:ascii="Times New Roman" w:hAnsi="Times New Roman"/>
          <w:sz w:val="20"/>
        </w:rPr>
        <w:t xml:space="preserve"> </w:t>
      </w:r>
      <w:r>
        <w:rPr>
          <w:rFonts w:ascii="Times New Roman" w:hAnsi="Times New Roman"/>
          <w:sz w:val="20"/>
        </w:rPr>
        <w:t xml:space="preserve">without any laboratory sampling. The output is a Nutritional and Health</w:t>
      </w:r>
      <w:r>
        <w:rPr>
          <w:rFonts w:ascii="Times New Roman" w:hAnsi="Times New Roman"/>
          <w:sz w:val="20"/>
        </w:rPr>
        <w:t xml:space="preserve"> </w:t>
      </w:r>
      <w:r>
        <w:rPr>
          <w:rFonts w:ascii="Times New Roman" w:hAnsi="Times New Roman"/>
          <w:sz w:val="20"/>
        </w:rPr>
        <w:t xml:space="preserve">Scorecard that field agents, packinghouse supervisors, or farmers can</w:t>
      </w:r>
      <w:r>
        <w:rPr>
          <w:rFonts w:ascii="Times New Roman" w:hAnsi="Times New Roman"/>
          <w:sz w:val="20"/>
        </w:rPr>
        <w:t xml:space="preserve"> </w:t>
      </w:r>
      <w:r>
        <w:rPr>
          <w:rFonts w:ascii="Times New Roman" w:hAnsi="Times New Roman"/>
          <w:sz w:val="20"/>
        </w:rPr>
        <w:t xml:space="preserve">generate in under a minute, from a mobile web interface or REST API</w:t>
      </w:r>
      <w:r>
        <w:rPr>
          <w:rFonts w:ascii="Times New Roman" w:hAnsi="Times New Roman"/>
          <w:sz w:val="20"/>
        </w:rPr>
        <w:t xml:space="preserve"> </w:t>
      </w:r>
      <w:r>
        <w:rPr>
          <w:rFonts w:ascii="Times New Roman" w:hAnsi="Times New Roman"/>
          <w:sz w:val="20"/>
        </w:rPr>
        <w:t xml:space="preserve">call.</w:t>
      </w:r>
    </w:p>
    <w:p>
      <w:pPr>
        <w:pStyle w:val="BodyText"/>
        <w:jc w:val="both"/>
      </w:pPr>
      <w:r>
        <w:rPr>
          <w:rFonts w:ascii="Times New Roman" w:hAnsi="Times New Roman"/>
          <w:sz w:val="20"/>
        </w:rPr>
        <w:t xml:space="preserve">The three principal contributions of this work are as follows.</w:t>
      </w:r>
    </w:p>
    <w:p>
      <w:pPr>
        <w:numPr>
          <w:ilvl w:val="0"/>
          <w:numId w:val="1001"/>
        </w:numPr>
        <w:jc w:val="both"/>
      </w:pPr>
      <w:r>
        <w:rPr>
          <w:b/>
          <w:bCs/>
        </w:rPr>
        <w:t xml:space="preserve">Vision Pipeline.</w:t>
      </w:r>
      <w:r>
        <w:rPr>
          <w:rFonts w:ascii="Times New Roman" w:hAnsi="Times New Roman"/>
          <w:sz w:val="20"/>
        </w:rPr>
        <w:t xml:space="preserve"> </w:t>
      </w:r>
      <w:r>
        <w:rPr>
          <w:rFonts w:ascii="Times New Roman" w:hAnsi="Times New Roman"/>
          <w:sz w:val="20"/>
        </w:rPr>
        <w:t xml:space="preserve">A fine-tuned EfficientNetB0 pipeline (Tan and</w:t>
      </w:r>
      <w:r>
        <w:rPr>
          <w:rFonts w:ascii="Times New Roman" w:hAnsi="Times New Roman"/>
          <w:sz w:val="20"/>
        </w:rPr>
        <w:t xml:space="preserve"> </w:t>
      </w:r>
      <w:r>
        <w:rPr>
          <w:rFonts w:ascii="Times New Roman" w:hAnsi="Times New Roman"/>
          <w:sz w:val="20"/>
        </w:rPr>
        <w:t xml:space="preserve">Le 2019) trained on the Pakruddin et al. (</w:t>
      </w:r>
      <w:r>
        <w:rPr>
          <w:rFonts w:ascii="Times New Roman" w:hAnsi="Times New Roman"/>
          <w:sz w:val="20"/>
        </w:rPr>
        <w:t xml:space="preserve">Pakruddin and</w:t>
      </w:r>
      <w:r>
        <w:rPr>
          <w:rFonts w:ascii="Times New Roman" w:hAnsi="Times New Roman"/>
          <w:sz w:val="20"/>
        </w:rPr>
        <w:t xml:space="preserve"> </w:t>
      </w:r>
      <w:r>
        <w:rPr>
          <w:rFonts w:ascii="Times New Roman" w:hAnsi="Times New Roman"/>
          <w:sz w:val="20"/>
        </w:rPr>
        <w:t xml:space="preserve">collaborators</w:t>
      </w:r>
      <w:r>
        <w:rPr>
          <w:rFonts w:ascii="Times New Roman" w:hAnsi="Times New Roman"/>
          <w:sz w:val="20"/>
        </w:rPr>
        <w:t xml:space="preserve"> </w:t>
      </w:r>
      <w:r>
        <w:rPr>
          <w:rFonts w:ascii="Times New Roman" w:hAnsi="Times New Roman"/>
          <w:sz w:val="20"/>
        </w:rPr>
        <w:t xml:space="preserve">2024) dataset, achieving 98.9% overall</w:t>
      </w:r>
      <w:r>
        <w:rPr>
          <w:rFonts w:ascii="Times New Roman" w:hAnsi="Times New Roman"/>
          <w:sz w:val="20"/>
        </w:rPr>
        <w:t xml:space="preserve"> </w:t>
      </w:r>
      <w:r>
        <w:rPr>
          <w:rFonts w:ascii="Times New Roman" w:hAnsi="Times New Roman"/>
          <w:sz w:val="20"/>
        </w:rPr>
        <w:t xml:space="preserve">F1-score and per-class AUC above 0.996 across all five disease</w:t>
      </w:r>
      <w:r>
        <w:rPr>
          <w:rFonts w:ascii="Times New Roman" w:hAnsi="Times New Roman"/>
          <w:sz w:val="20"/>
        </w:rPr>
        <w:t xml:space="preserve"> </w:t>
      </w:r>
      <w:r>
        <w:rPr>
          <w:rFonts w:ascii="Times New Roman" w:hAnsi="Times New Roman"/>
          <w:sz w:val="20"/>
        </w:rPr>
        <w:t xml:space="preserve">categories.</w:t>
      </w:r>
    </w:p>
    <w:p>
      <w:pPr>
        <w:numPr>
          <w:ilvl w:val="0"/>
          <w:numId w:val="1001"/>
        </w:numPr>
        <w:jc w:val="both"/>
      </w:pPr>
      <w:r>
        <w:rPr>
          <w:b/>
          <w:bCs/>
        </w:rPr>
        <w:t xml:space="preserve">Phytochemical Inference Ontology.</w:t>
      </w:r>
      <w:r>
        <w:rPr>
          <w:rFonts w:ascii="Times New Roman" w:hAnsi="Times New Roman"/>
          <w:sz w:val="20"/>
        </w:rPr>
        <w:t xml:space="preserve"> </w:t>
      </w:r>
      <w:r>
        <w:rPr>
          <w:rFonts w:ascii="Times New Roman" w:hAnsi="Times New Roman"/>
          <w:sz w:val="20"/>
        </w:rPr>
        <w:t xml:space="preserve">An OWL 2 DL knowledge ontology</w:t>
      </w:r>
      <w:r>
        <w:rPr>
          <w:rFonts w:ascii="Times New Roman" w:hAnsi="Times New Roman"/>
          <w:sz w:val="20"/>
        </w:rPr>
        <w:t xml:space="preserve"> </w:t>
      </w:r>
      <w:r>
        <w:rPr>
          <w:rFonts w:ascii="Times New Roman" w:hAnsi="Times New Roman"/>
          <w:sz w:val="20"/>
        </w:rPr>
        <w:t xml:space="preserve">formalising the biochemical relationships between disease severity,</w:t>
      </w:r>
      <w:r>
        <w:rPr>
          <w:rFonts w:ascii="Times New Roman" w:hAnsi="Times New Roman"/>
          <w:sz w:val="20"/>
        </w:rPr>
        <w:t xml:space="preserve"> </w:t>
      </w:r>
      <w:r>
        <w:rPr>
          <w:rFonts w:ascii="Times New Roman" w:hAnsi="Times New Roman"/>
          <w:sz w:val="20"/>
        </w:rPr>
        <w:t xml:space="preserve">environmental stressors, and phytochemical compound</w:t>
      </w:r>
      <w:r>
        <w:rPr>
          <w:rFonts w:ascii="Times New Roman" w:hAnsi="Times New Roman"/>
          <w:sz w:val="20"/>
        </w:rPr>
        <w:t xml:space="preserve"> </w:t>
      </w:r>
      <w:r>
        <w:rPr>
          <w:rFonts w:ascii="Times New Roman" w:hAnsi="Times New Roman"/>
          <w:sz w:val="20"/>
        </w:rPr>
        <w:t xml:space="preserve">degradation—extended with application-layer inference rules that,</w:t>
      </w:r>
      <w:r>
        <w:rPr>
          <w:rFonts w:ascii="Times New Roman" w:hAnsi="Times New Roman"/>
          <w:sz w:val="20"/>
        </w:rPr>
        <w:t xml:space="preserve"> </w:t>
      </w:r>
      <w:r>
        <w:rPr>
          <w:rFonts w:ascii="Times New Roman" w:hAnsi="Times New Roman"/>
          <w:sz w:val="20"/>
        </w:rPr>
        <w:t xml:space="preserve">to the best of our knowledge, represent the first integration of</w:t>
      </w:r>
      <w:r>
        <w:rPr>
          <w:rFonts w:ascii="Times New Roman" w:hAnsi="Times New Roman"/>
          <w:sz w:val="20"/>
        </w:rPr>
        <w:t xml:space="preserve"> </w:t>
      </w:r>
      <w:r>
        <w:rPr>
          <w:rFonts w:ascii="Times New Roman" w:hAnsi="Times New Roman"/>
          <w:sz w:val="20"/>
        </w:rPr>
        <w:t xml:space="preserve">disease-to-phytochemical mapping with visual classification output</w:t>
      </w:r>
      <w:r>
        <w:rPr>
          <w:rFonts w:ascii="Times New Roman" w:hAnsi="Times New Roman"/>
          <w:sz w:val="20"/>
        </w:rPr>
        <w:t xml:space="preserve"> </w:t>
      </w:r>
      <w:r>
        <w:rPr>
          <w:rFonts w:ascii="Times New Roman" w:hAnsi="Times New Roman"/>
          <w:sz w:val="20"/>
        </w:rPr>
        <w:t xml:space="preserve">in pomegranate horticulture.</w:t>
      </w:r>
    </w:p>
    <w:p>
      <w:pPr>
        <w:numPr>
          <w:ilvl w:val="0"/>
          <w:numId w:val="1001"/>
        </w:numPr>
        <w:jc w:val="both"/>
      </w:pPr>
      <w:r>
        <w:rPr>
          <w:b/>
          <w:bCs/>
        </w:rPr>
        <w:t xml:space="preserve">Multi-Agent Architecture.</w:t>
      </w:r>
      <w:r>
        <w:rPr>
          <w:rFonts w:ascii="Times New Roman" w:hAnsi="Times New Roman"/>
          <w:sz w:val="20"/>
        </w:rPr>
        <w:t xml:space="preserve"> </w:t>
      </w:r>
      <w:r>
        <w:rPr>
          <w:rFonts w:ascii="Times New Roman" w:hAnsi="Times New Roman"/>
          <w:sz w:val="20"/>
        </w:rPr>
        <w:t xml:space="preserve">A LangGraph StateGraph multi-agent</w:t>
      </w:r>
      <w:r>
        <w:rPr>
          <w:rFonts w:ascii="Times New Roman" w:hAnsi="Times New Roman"/>
          <w:sz w:val="20"/>
        </w:rPr>
        <w:t xml:space="preserve"> </w:t>
      </w:r>
      <w:r>
        <w:rPr>
          <w:rFonts w:ascii="Times New Roman" w:hAnsi="Times New Roman"/>
          <w:sz w:val="20"/>
        </w:rPr>
        <w:t xml:space="preserve">architecture providing modular, stateful coordination of vision,</w:t>
      </w:r>
      <w:r>
        <w:rPr>
          <w:rFonts w:ascii="Times New Roman" w:hAnsi="Times New Roman"/>
          <w:sz w:val="20"/>
        </w:rPr>
        <w:t xml:space="preserve"> </w:t>
      </w:r>
      <w:r>
        <w:rPr>
          <w:rFonts w:ascii="Times New Roman" w:hAnsi="Times New Roman"/>
          <w:sz w:val="20"/>
        </w:rPr>
        <w:t xml:space="preserve">environmental, ontological, and reporting agents with built-in</w:t>
      </w:r>
      <w:r>
        <w:rPr>
          <w:rFonts w:ascii="Times New Roman" w:hAnsi="Times New Roman"/>
          <w:sz w:val="20"/>
        </w:rPr>
        <w:t xml:space="preserve"> </w:t>
      </w:r>
      <w:r>
        <w:rPr>
          <w:rFonts w:ascii="Times New Roman" w:hAnsi="Times New Roman"/>
          <w:sz w:val="20"/>
        </w:rPr>
        <w:t xml:space="preserve">checkpoint-based fault recovery.</w:t>
      </w:r>
    </w:p>
    <w:p>
      <w:pPr>
        <w:pStyle w:val="FirstParagraph"/>
      </w:pPr>
      <w:r>
        <w:t xml:space="preserve">The remainder of this paper is organised as follows.</w:t>
      </w:r>
      <w:r>
        <w:t xml:space="preserve"> </w:t>
      </w:r>
      <w:r>
        <w:t xml:space="preserve">Section </w:t>
      </w:r>
      <w:hyperlink w:anchor="sec:related">
        <w:r>
          <w:rPr>
            <w:rStyle w:val="Hyperlink"/>
          </w:rPr>
          <w:t xml:space="preserve">2</w:t>
        </w:r>
      </w:hyperlink>
      <w:r>
        <w:t xml:space="preserve"> </w:t>
      </w:r>
      <w:r>
        <w:t xml:space="preserve">surveys related work across plant disease detection, agricultural</w:t>
      </w:r>
      <w:r>
        <w:t xml:space="preserve"> </w:t>
      </w:r>
      <w:r>
        <w:t xml:space="preserve">ontologies, multi-agent systems, and non-destructive phytochemical</w:t>
      </w:r>
      <w:r>
        <w:t xml:space="preserve"> </w:t>
      </w:r>
      <w:r>
        <w:t xml:space="preserve">assessment. Section </w:t>
      </w:r>
      <w:hyperlink w:anchor="sec:problem">
        <w:r>
          <w:rPr>
            <w:rStyle w:val="Hyperlink"/>
          </w:rPr>
          <w:t xml:space="preserve">3</w:t>
        </w:r>
      </w:hyperlink>
      <w:r>
        <w:t xml:space="preserve"> </w:t>
      </w:r>
      <w:r>
        <w:t xml:space="preserve">formalises the coupled inference problems.</w:t>
      </w:r>
      <w:r>
        <w:t xml:space="preserve"> </w:t>
      </w:r>
      <w:r>
        <w:t xml:space="preserve">Section </w:t>
      </w:r>
      <w:hyperlink w:anchor="sec:architecture">
        <w:r>
          <w:rPr>
            <w:rStyle w:val="Hyperlink"/>
          </w:rPr>
          <w:t xml:space="preserve">4</w:t>
        </w:r>
      </w:hyperlink>
      <w:r>
        <w:t xml:space="preserve"> </w:t>
      </w:r>
      <w:r>
        <w:t xml:space="preserve">describes the system architecture in full.</w:t>
      </w:r>
      <w:r>
        <w:t xml:space="preserve"> </w:t>
      </w:r>
      <w:r>
        <w:t xml:space="preserve">Section </w:t>
      </w:r>
      <w:hyperlink w:anchor="sec:dataset">
        <w:r>
          <w:rPr>
            <w:rStyle w:val="Hyperlink"/>
          </w:rPr>
          <w:t xml:space="preserve">5</w:t>
        </w:r>
      </w:hyperlink>
      <w:r>
        <w:t xml:space="preserve"> </w:t>
      </w:r>
      <w:r>
        <w:t xml:space="preserve">covers the dataset and experimental setup.</w:t>
      </w:r>
      <w:r>
        <w:t xml:space="preserve"> </w:t>
      </w:r>
      <w:r>
        <w:t xml:space="preserve">Section </w:t>
      </w:r>
      <w:hyperlink w:anchor="sec:results">
        <w:r>
          <w:rPr>
            <w:rStyle w:val="Hyperlink"/>
          </w:rPr>
          <w:t xml:space="preserve">6</w:t>
        </w:r>
      </w:hyperlink>
      <w:r>
        <w:t xml:space="preserve"> </w:t>
      </w:r>
      <w:r>
        <w:t xml:space="preserve">presents evaluation results.</w:t>
      </w:r>
      <w:r>
        <w:t xml:space="preserve"> </w:t>
      </w:r>
      <w:r>
        <w:t xml:space="preserve">Sections </w:t>
      </w:r>
      <w:hyperlink w:anchor="sec:discussion">
        <w:r>
          <w:rPr>
            <w:rStyle w:val="Hyperlink"/>
          </w:rPr>
          <w:t xml:space="preserve">7</w:t>
        </w:r>
      </w:hyperlink>
      <w:r>
        <w:t xml:space="preserve"> </w:t>
      </w:r>
      <w:r>
        <w:t xml:space="preserve">and </w:t>
      </w:r>
      <w:hyperlink w:anchor="sec:limitations">
        <w:r>
          <w:rPr>
            <w:rStyle w:val="Hyperlink"/>
          </w:rPr>
          <w:t xml:space="preserve">8</w:t>
        </w:r>
      </w:hyperlink>
      <w:r>
        <w:t xml:space="preserve"> </w:t>
      </w:r>
      <w:r>
        <w:t xml:space="preserve">provide critical discussion and honest</w:t>
      </w:r>
      <w:r>
        <w:t xml:space="preserve"> </w:t>
      </w:r>
      <w:r>
        <w:t xml:space="preserve">limitation analysis. Section </w:t>
      </w:r>
      <w:hyperlink w:anchor="sec:conclusion">
        <w:r>
          <w:rPr>
            <w:rStyle w:val="Hyperlink"/>
          </w:rPr>
          <w:t xml:space="preserve">9</w:t>
        </w:r>
      </w:hyperlink>
      <w:r>
        <w:t xml:space="preserve"> </w:t>
      </w:r>
      <w:r>
        <w:t xml:space="preserve">concludes.</w:t>
      </w:r>
    </w:p>
    <w:bookmarkEnd w:id="9"/>
    <w:bookmarkStart w:id="14" w:name="sec:related"/>
    <w:p>
      <w:pPr>
        <w:pStyle w:val="Heading1"/>
      </w:pPr>
      <w:r>
        <w:t xml:space="preserve">Related Work</w:t>
      </w:r>
    </w:p>
    <w:bookmarkStart w:id="10" w:name="Xbc98801e811bd47b89336ae399d3a174e19abc0"/>
    <w:p>
      <w:pPr>
        <w:pStyle w:val="Heading2"/>
      </w:pPr>
      <w:r>
        <w:t xml:space="preserve">Deep Learning for Plant Disease Detection</w:t>
      </w:r>
    </w:p>
    <w:p>
      <w:pPr>
        <w:pStyle w:val="FirstParagraph"/>
      </w:pPr>
      <w:r>
        <w:t xml:space="preserve">Convolutional neural network (CNN) application to agricultural plant</w:t>
      </w:r>
      <w:r>
        <w:t xml:space="preserve"> </w:t>
      </w:r>
      <w:r>
        <w:t xml:space="preserve">disease has been active since the PlantVillage benchmark (Mohanty et al.</w:t>
      </w:r>
      <w:r>
        <w:t xml:space="preserve"> </w:t>
      </w:r>
      <w:r>
        <w:t xml:space="preserve">2016), which demonstrated that standard CNN architectures could achieve</w:t>
      </w:r>
      <w:r>
        <w:t xml:space="preserve"> </w:t>
      </w:r>
      <w:r>
        <w:t xml:space="preserve">high accuracy on isolated leaf images under controlled photographic</w:t>
      </w:r>
      <w:r>
        <w:t xml:space="preserve"> </w:t>
      </w:r>
      <w:r>
        <w:t xml:space="preserve">conditions. The dataset’s 54,306 images across 38 disease classes seeded</w:t>
      </w:r>
      <w:r>
        <w:t xml:space="preserve"> </w:t>
      </w:r>
      <w:r>
        <w:t xml:space="preserve">a generation of crop-specific fine-tuning work.</w:t>
      </w:r>
    </w:p>
    <w:p>
      <w:pPr>
        <w:pStyle w:val="BodyText"/>
        <w:jc w:val="both"/>
      </w:pPr>
      <w:r>
        <w:rPr>
          <w:rFonts w:ascii="Times New Roman" w:hAnsi="Times New Roman"/>
          <w:sz w:val="20"/>
        </w:rPr>
        <w:t xml:space="preserve">Subsequent architecture comparisons surveyed VGG16 (Simonyan and</w:t>
      </w:r>
      <w:r>
        <w:rPr>
          <w:rFonts w:ascii="Times New Roman" w:hAnsi="Times New Roman"/>
          <w:sz w:val="20"/>
        </w:rPr>
        <w:t xml:space="preserve"> </w:t>
      </w:r>
      <w:r>
        <w:rPr>
          <w:rFonts w:ascii="Times New Roman" w:hAnsi="Times New Roman"/>
          <w:sz w:val="20"/>
        </w:rPr>
        <w:t xml:space="preserve">Zisserman 2015), ResNet50 (He et al. 2016), InceptionV3 (Szegedy et al.</w:t>
      </w:r>
      <w:r>
        <w:rPr>
          <w:rFonts w:ascii="Times New Roman" w:hAnsi="Times New Roman"/>
          <w:sz w:val="20"/>
        </w:rPr>
        <w:t xml:space="preserve"> </w:t>
      </w:r>
      <w:r>
        <w:rPr>
          <w:rFonts w:ascii="Times New Roman" w:hAnsi="Times New Roman"/>
          <w:sz w:val="20"/>
        </w:rPr>
        <w:t xml:space="preserve">2016), and MobileNetV2 (Howard et al. 2017) on various plant disease</w:t>
      </w:r>
      <w:r>
        <w:rPr>
          <w:rFonts w:ascii="Times New Roman" w:hAnsi="Times New Roman"/>
          <w:sz w:val="20"/>
        </w:rPr>
        <w:t xml:space="preserve"> </w:t>
      </w:r>
      <w:r>
        <w:rPr>
          <w:rFonts w:ascii="Times New Roman" w:hAnsi="Times New Roman"/>
          <w:sz w:val="20"/>
        </w:rPr>
        <w:t xml:space="preserve">benchmarks (Ferentinos 2018; Kamilaris and Prenafeta-Boldú 2018). VGG16</w:t>
      </w:r>
      <w:r>
        <w:rPr>
          <w:rFonts w:ascii="Times New Roman" w:hAnsi="Times New Roman"/>
          <w:sz w:val="20"/>
        </w:rPr>
        <w:t xml:space="preserve"> </w:t>
      </w:r>
      <w:r>
        <w:rPr>
          <w:rFonts w:ascii="Times New Roman" w:hAnsi="Times New Roman"/>
          <w:sz w:val="20"/>
        </w:rPr>
        <w:t xml:space="preserve">delivers high accuracy at the cost of 138 million parameters and</w:t>
      </w:r>
      <w:r>
        <w:rPr>
          <w:rFonts w:ascii="Times New Roman" w:hAnsi="Times New Roman"/>
          <w:sz w:val="20"/>
        </w:rPr>
        <w:t xml:space="preserve"> </w:t>
      </w:r>
      <w:r>
        <w:rPr>
          <w:rFonts w:ascii="Times New Roman" w:hAnsi="Times New Roman"/>
          <w:sz w:val="20"/>
        </w:rPr>
        <w:t xml:space="preserve">prohibitive inference latency on edge hardware. ResNet50 addresses</w:t>
      </w:r>
      <w:r>
        <w:rPr>
          <w:rFonts w:ascii="Times New Roman" w:hAnsi="Times New Roman"/>
          <w:sz w:val="20"/>
        </w:rPr>
        <w:t xml:space="preserve"> </w:t>
      </w:r>
      <w:r>
        <w:rPr>
          <w:rFonts w:ascii="Times New Roman" w:hAnsi="Times New Roman"/>
          <w:sz w:val="20"/>
        </w:rPr>
        <w:t xml:space="preserve">gradient vanishing through skip connections but remains computationally</w:t>
      </w:r>
      <w:r>
        <w:rPr>
          <w:rFonts w:ascii="Times New Roman" w:hAnsi="Times New Roman"/>
          <w:sz w:val="20"/>
        </w:rPr>
        <w:t xml:space="preserve"> </w:t>
      </w:r>
      <w:r>
        <w:rPr>
          <w:rFonts w:ascii="Times New Roman" w:hAnsi="Times New Roman"/>
          <w:sz w:val="20"/>
        </w:rPr>
        <w:t xml:space="preserve">heavy at 25.6 M parameters. InceptionV3 uses asymmetric filter</w:t>
      </w:r>
      <w:r>
        <w:rPr>
          <w:rFonts w:ascii="Times New Roman" w:hAnsi="Times New Roman"/>
          <w:sz w:val="20"/>
        </w:rPr>
        <w:t xml:space="preserve"> </w:t>
      </w:r>
      <w:r>
        <w:rPr>
          <w:rFonts w:ascii="Times New Roman" w:hAnsi="Times New Roman"/>
          <w:sz w:val="20"/>
        </w:rPr>
        <w:t xml:space="preserve">factorisation to reduce computation, but its 23.9 M parameter count and</w:t>
      </w:r>
      <w:r>
        <w:rPr>
          <w:rFonts w:ascii="Times New Roman" w:hAnsi="Times New Roman"/>
          <w:sz w:val="20"/>
        </w:rPr>
        <w:t xml:space="preserve"> </w:t>
      </w:r>
      <w:r>
        <w:rPr>
          <w:rFonts w:ascii="Times New Roman" w:hAnsi="Times New Roman"/>
          <w:sz w:val="20"/>
        </w:rPr>
        <w:t xml:space="preserve">299</w:t>
      </w:r>
      <m:oMath>
        <m:r>
          <m:rPr>
            <m:sty m:val="p"/>
          </m:rPr>
          <m:t>×</m:t>
        </m:r>
      </m:oMath>
      <w:r>
        <w:rPr>
          <w:rFonts w:ascii="Times New Roman" w:hAnsi="Times New Roman"/>
          <w:sz w:val="20"/>
        </w:rPr>
        <w:t xml:space="preserve">299 input resolution make it impractical for</w:t>
      </w:r>
      <w:r>
        <w:rPr>
          <w:rFonts w:ascii="Times New Roman" w:hAnsi="Times New Roman"/>
          <w:sz w:val="20"/>
        </w:rPr>
        <w:t xml:space="preserve"> </w:t>
      </w:r>
      <w:r>
        <w:rPr>
          <w:rFonts w:ascii="Times New Roman" w:hAnsi="Times New Roman"/>
          <w:sz w:val="20"/>
        </w:rPr>
        <w:t xml:space="preserve">mobile-first field deployment. MobileNetV2’s depthwise separable</w:t>
      </w:r>
      <w:r>
        <w:rPr>
          <w:rFonts w:ascii="Times New Roman" w:hAnsi="Times New Roman"/>
          <w:sz w:val="20"/>
        </w:rPr>
        <w:t xml:space="preserve"> </w:t>
      </w:r>
      <w:r>
        <w:rPr>
          <w:rFonts w:ascii="Times New Roman" w:hAnsi="Times New Roman"/>
          <w:sz w:val="20"/>
        </w:rPr>
        <w:t xml:space="preserve">convolutions reduce this to 3.4 M parameters (Howard et al. 2017), but</w:t>
      </w:r>
      <w:r>
        <w:rPr>
          <w:rFonts w:ascii="Times New Roman" w:hAnsi="Times New Roman"/>
          <w:sz w:val="20"/>
        </w:rPr>
        <w:t xml:space="preserve"> </w:t>
      </w:r>
      <w:r>
        <w:rPr>
          <w:rFonts w:ascii="Times New Roman" w:hAnsi="Times New Roman"/>
          <w:sz w:val="20"/>
        </w:rPr>
        <w:t xml:space="preserve">accuracy on fine-grained disease texture discrimination is noticeably</w:t>
      </w:r>
      <w:r>
        <w:rPr>
          <w:rFonts w:ascii="Times New Roman" w:hAnsi="Times New Roman"/>
          <w:sz w:val="20"/>
        </w:rPr>
        <w:t xml:space="preserve"> </w:t>
      </w:r>
      <w:r>
        <w:rPr>
          <w:rFonts w:ascii="Times New Roman" w:hAnsi="Times New Roman"/>
          <w:sz w:val="20"/>
        </w:rPr>
        <w:t xml:space="preserve">lower on challenging datasets.</w:t>
      </w:r>
    </w:p>
    <w:p>
      <w:pPr>
        <w:pStyle w:val="BodyText"/>
        <w:jc w:val="both"/>
      </w:pPr>
      <w:r>
        <w:rPr>
          <w:rFonts w:ascii="Times New Roman" w:hAnsi="Times New Roman"/>
          <w:sz w:val="20"/>
        </w:rPr>
        <w:t xml:space="preserve">EfficientNetB0 (Tan and Le 2019) applies compound scaling— jointly</w:t>
      </w:r>
      <w:r>
        <w:rPr>
          <w:rFonts w:ascii="Times New Roman" w:hAnsi="Times New Roman"/>
          <w:sz w:val="20"/>
        </w:rPr>
        <w:t xml:space="preserve"> </w:t>
      </w:r>
      <w:r>
        <w:rPr>
          <w:rFonts w:ascii="Times New Roman" w:hAnsi="Times New Roman"/>
          <w:sz w:val="20"/>
        </w:rPr>
        <w:t xml:space="preserve">optimising network width, depth, and input resolution via a fixed</w:t>
      </w:r>
      <w:r>
        <w:rPr>
          <w:rFonts w:ascii="Times New Roman" w:hAnsi="Times New Roman"/>
          <w:sz w:val="20"/>
        </w:rPr>
        <w:t xml:space="preserve"> </w:t>
      </w:r>
      <w:r>
        <w:rPr>
          <w:rFonts w:ascii="Times New Roman" w:hAnsi="Times New Roman"/>
          <w:sz w:val="20"/>
        </w:rPr>
        <w:t xml:space="preserve">scaling coefficient derived from a neural architecture search— to</w:t>
      </w:r>
      <w:r>
        <w:rPr>
          <w:rFonts w:ascii="Times New Roman" w:hAnsi="Times New Roman"/>
          <w:sz w:val="20"/>
        </w:rPr>
        <w:t xml:space="preserve"> </w:t>
      </w:r>
      <w:r>
        <w:rPr>
          <w:rFonts w:ascii="Times New Roman" w:hAnsi="Times New Roman"/>
          <w:sz w:val="20"/>
        </w:rPr>
        <w:t xml:space="preserve">achieve ImageNet accuracy comparable to ResNet50 with 5.3 M parameters</w:t>
      </w:r>
      <w:r>
        <w:rPr>
          <w:rFonts w:ascii="Times New Roman" w:hAnsi="Times New Roman"/>
          <w:sz w:val="20"/>
        </w:rPr>
        <w:t xml:space="preserve"> </w:t>
      </w:r>
      <w:r>
        <w:rPr>
          <w:rFonts w:ascii="Times New Roman" w:hAnsi="Times New Roman"/>
          <w:sz w:val="20"/>
        </w:rPr>
        <w:t xml:space="preserve">and</w:t>
      </w:r>
      <w:r>
        <w:rPr>
          <w:rFonts w:ascii="Times New Roman" w:hAnsi="Times New Roman"/>
          <w:sz w:val="20"/>
        </w:rPr>
        <w:t xml:space="preserve"> </w:t>
      </w:r>
      <m:oMath>
        <m:r>
          <m:t>224</m:t>
        </m:r>
        <m:r>
          <m:rPr>
            <m:sty m:val="p"/>
          </m:rPr>
          <m:t>×</m:t>
        </m:r>
        <m:r>
          <m:t>224</m:t>
        </m:r>
      </m:oMath>
      <w:r>
        <w:rPr>
          <w:rFonts w:ascii="Times New Roman" w:hAnsi="Times New Roman"/>
          <w:sz w:val="20"/>
        </w:rPr>
        <w:t xml:space="preserve"> </w:t>
      </w:r>
      <w:r>
        <w:rPr>
          <w:rFonts w:ascii="Times New Roman" w:hAnsi="Times New Roman"/>
          <w:sz w:val="20"/>
        </w:rPr>
        <w:t xml:space="preserve">input. On agricultural disease classification tasks,</w:t>
      </w:r>
      <w:r>
        <w:rPr>
          <w:rFonts w:ascii="Times New Roman" w:hAnsi="Times New Roman"/>
          <w:sz w:val="20"/>
        </w:rPr>
        <w:t xml:space="preserve"> </w:t>
      </w:r>
      <w:r>
        <w:rPr>
          <w:rFonts w:ascii="Times New Roman" w:hAnsi="Times New Roman"/>
          <w:sz w:val="20"/>
        </w:rPr>
        <w:t xml:space="preserve">this combination of efficiency and accuracy is the decisive argument for</w:t>
      </w:r>
      <w:r>
        <w:rPr>
          <w:rFonts w:ascii="Times New Roman" w:hAnsi="Times New Roman"/>
          <w:sz w:val="20"/>
        </w:rPr>
        <w:t xml:space="preserve"> </w:t>
      </w:r>
      <w:r>
        <w:rPr>
          <w:rFonts w:ascii="Times New Roman" w:hAnsi="Times New Roman"/>
          <w:sz w:val="20"/>
        </w:rPr>
        <w:t xml:space="preserve">EfficientNetB0 over larger alternatives: it fits in memory on a</w:t>
      </w:r>
      <w:r>
        <w:rPr>
          <w:rFonts w:ascii="Times New Roman" w:hAnsi="Times New Roman"/>
          <w:sz w:val="20"/>
        </w:rPr>
        <w:t xml:space="preserve"> </w:t>
      </w:r>
      <w:r>
        <w:rPr>
          <w:rFonts w:ascii="Times New Roman" w:hAnsi="Times New Roman"/>
          <w:sz w:val="20"/>
        </w:rPr>
        <w:t xml:space="preserve">Raspberry Pi 5, runs inference in well under one second on mid-range</w:t>
      </w:r>
      <w:r>
        <w:rPr>
          <w:rFonts w:ascii="Times New Roman" w:hAnsi="Times New Roman"/>
          <w:sz w:val="20"/>
        </w:rPr>
        <w:t xml:space="preserve"> </w:t>
      </w:r>
      <w:r>
        <w:rPr>
          <w:rFonts w:ascii="Times New Roman" w:hAnsi="Times New Roman"/>
          <w:sz w:val="20"/>
        </w:rPr>
        <w:t xml:space="preserve">smartphone hardware, and does not require the large batch sizes that</w:t>
      </w:r>
      <w:r>
        <w:rPr>
          <w:rFonts w:ascii="Times New Roman" w:hAnsi="Times New Roman"/>
          <w:sz w:val="20"/>
        </w:rPr>
        <w:t xml:space="preserve"> </w:t>
      </w:r>
      <w:r>
        <w:rPr>
          <w:rFonts w:ascii="Times New Roman" w:hAnsi="Times New Roman"/>
          <w:sz w:val="20"/>
        </w:rPr>
        <w:t xml:space="preserve">make ResNet50 training slower on limited GPU resources. For</w:t>
      </w:r>
      <w:r>
        <w:rPr>
          <w:rFonts w:ascii="Times New Roman" w:hAnsi="Times New Roman"/>
          <w:sz w:val="20"/>
        </w:rPr>
        <w:t xml:space="preserve"> </w:t>
      </w:r>
      <w:r>
        <w:rPr>
          <w:rFonts w:ascii="Times New Roman" w:hAnsi="Times New Roman"/>
          <w:sz w:val="20"/>
        </w:rPr>
        <w:t xml:space="preserve">pomegranate-specific classification with five disease classes and nearly</w:t>
      </w:r>
      <w:r>
        <w:rPr>
          <w:rFonts w:ascii="Times New Roman" w:hAnsi="Times New Roman"/>
          <w:sz w:val="20"/>
        </w:rPr>
        <w:t xml:space="preserve"> </w:t>
      </w:r>
      <w:r>
        <w:rPr>
          <w:rFonts w:ascii="Times New Roman" w:hAnsi="Times New Roman"/>
          <w:sz w:val="20"/>
        </w:rPr>
        <w:t xml:space="preserve">five thousand training images, the parameter budget of EfficientNetB0 is</w:t>
      </w:r>
      <w:r>
        <w:rPr>
          <w:rFonts w:ascii="Times New Roman" w:hAnsi="Times New Roman"/>
          <w:sz w:val="20"/>
        </w:rPr>
        <w:t xml:space="preserve"> </w:t>
      </w:r>
      <w:r>
        <w:rPr>
          <w:rFonts w:ascii="Times New Roman" w:hAnsi="Times New Roman"/>
          <w:sz w:val="20"/>
        </w:rPr>
        <w:t xml:space="preserve">both sufficient and appropriate.</w:t>
      </w:r>
    </w:p>
    <w:bookmarkEnd w:id="10"/>
    <w:bookmarkStart w:id="11" w:name="X409bd77193573eb8976a1e82816e091969f5893"/>
    <w:p>
      <w:pPr>
        <w:pStyle w:val="Heading2"/>
      </w:pPr>
      <w:r>
        <w:t xml:space="preserve">Knowledge Representation in Precision Agriculture</w:t>
      </w:r>
    </w:p>
    <w:p>
      <w:pPr>
        <w:pStyle w:val="FirstParagraph"/>
      </w:pPr>
      <w:r>
        <w:t xml:space="preserve">Agricultural knowledge has been formalised through several ontological</w:t>
      </w:r>
      <w:r>
        <w:t xml:space="preserve"> </w:t>
      </w:r>
      <w:r>
        <w:t xml:space="preserve">initiatives. AGROVOC (Caracciolo et al. 2013), maintained by the FAO,</w:t>
      </w:r>
      <w:r>
        <w:t xml:space="preserve"> </w:t>
      </w:r>
      <w:r>
        <w:t xml:space="preserve">provides a thesaurus-level vocabulary of roughly 40,000 concepts in</w:t>
      </w:r>
      <w:r>
        <w:t xml:space="preserve"> </w:t>
      </w:r>
      <w:r>
        <w:t xml:space="preserve">food, agriculture, and related domains. It covers crop species, pest</w:t>
      </w:r>
      <w:r>
        <w:t xml:space="preserve"> </w:t>
      </w:r>
      <w:r>
        <w:t xml:space="preserve">taxonomy, nutrient types, and farming practices, but does not model the</w:t>
      </w:r>
      <w:r>
        <w:t xml:space="preserve"> </w:t>
      </w:r>
      <w:r>
        <w:rPr>
          <w:i/>
          <w:iCs/>
        </w:rPr>
        <w:t xml:space="preserve">causal relationships</w:t>
      </w:r>
      <w:r>
        <w:t xml:space="preserve"> </w:t>
      </w:r>
      <w:r>
        <w:t xml:space="preserve">between disease states and phytochemical compound</w:t>
      </w:r>
      <w:r>
        <w:t xml:space="preserve"> </w:t>
      </w:r>
      <w:r>
        <w:t xml:space="preserve">levels. CropOntology (Crop Ontology Consortium 2013) extends this with</w:t>
      </w:r>
      <w:r>
        <w:t xml:space="preserve"> </w:t>
      </w:r>
      <w:r>
        <w:t xml:space="preserve">crop-specific trait definitions aligned to breeding databases, again</w:t>
      </w:r>
      <w:r>
        <w:t xml:space="preserve"> </w:t>
      </w:r>
      <w:r>
        <w:t xml:space="preserve">without addressing post-harvest biochemical inference. AgriOnto (Ong et</w:t>
      </w:r>
      <w:r>
        <w:t xml:space="preserve"> </w:t>
      </w:r>
      <w:r>
        <w:t xml:space="preserve">al. 2006) and the broader semantic agriculture body of work (Larrañaga</w:t>
      </w:r>
      <w:r>
        <w:t xml:space="preserve"> </w:t>
      </w:r>
      <w:r>
        <w:t xml:space="preserve">and Moral 2006) provide formal class hierarchies for crop management</w:t>
      </w:r>
      <w:r>
        <w:t xml:space="preserve"> </w:t>
      </w:r>
      <w:r>
        <w:t xml:space="preserve">decisions, but none of these systems encode the biochemical pathways by</w:t>
      </w:r>
      <w:r>
        <w:t xml:space="preserve"> </w:t>
      </w:r>
      <w:r>
        <w:t xml:space="preserve">which specific fungal or bacterial pathogens degrade specific secondary</w:t>
      </w:r>
      <w:r>
        <w:t xml:space="preserve"> </w:t>
      </w:r>
      <w:r>
        <w:t xml:space="preserve">metabolites under quantified environmental stress conditions.</w:t>
      </w:r>
    </w:p>
    <w:p>
      <w:pPr>
        <w:pStyle w:val="BodyText"/>
        <w:jc w:val="both"/>
      </w:pPr>
      <w:r>
        <w:rPr>
          <w:rFonts w:ascii="Times New Roman" w:hAnsi="Times New Roman"/>
          <w:sz w:val="20"/>
        </w:rPr>
        <w:t xml:space="preserve">This gap is not incidental. Phytochemical degradation data are expensive</w:t>
      </w:r>
      <w:r>
        <w:rPr>
          <w:rFonts w:ascii="Times New Roman" w:hAnsi="Times New Roman"/>
          <w:sz w:val="20"/>
        </w:rPr>
        <w:t xml:space="preserve"> </w:t>
      </w:r>
      <w:r>
        <w:rPr>
          <w:rFonts w:ascii="Times New Roman" w:hAnsi="Times New Roman"/>
          <w:sz w:val="20"/>
        </w:rPr>
        <w:t xml:space="preserve">to produce—requiring controlled infection trials with co-located HPLC</w:t>
      </w:r>
      <w:r>
        <w:rPr>
          <w:rFonts w:ascii="Times New Roman" w:hAnsi="Times New Roman"/>
          <w:sz w:val="20"/>
        </w:rPr>
        <w:t xml:space="preserve"> </w:t>
      </w:r>
      <w:r>
        <w:rPr>
          <w:rFonts w:ascii="Times New Roman" w:hAnsi="Times New Roman"/>
          <w:sz w:val="20"/>
        </w:rPr>
        <w:t xml:space="preserve">measurements—and the precision agriculture ontology community has</w:t>
      </w:r>
      <w:r>
        <w:rPr>
          <w:rFonts w:ascii="Times New Roman" w:hAnsi="Times New Roman"/>
          <w:sz w:val="20"/>
        </w:rPr>
        <w:t xml:space="preserve"> </w:t>
      </w:r>
      <w:r>
        <w:rPr>
          <w:rFonts w:ascii="Times New Roman" w:hAnsi="Times New Roman"/>
          <w:sz w:val="20"/>
        </w:rPr>
        <w:t xml:space="preserve">prioritised yield prediction and field-level agronomic advice over</w:t>
      </w:r>
      <w:r>
        <w:rPr>
          <w:rFonts w:ascii="Times New Roman" w:hAnsi="Times New Roman"/>
          <w:sz w:val="20"/>
        </w:rPr>
        <w:t xml:space="preserve"> </w:t>
      </w:r>
      <w:r>
        <w:rPr>
          <w:rFonts w:ascii="Times New Roman" w:hAnsi="Times New Roman"/>
          <w:sz w:val="20"/>
        </w:rPr>
        <w:t xml:space="preserve">post-infection biochemistry. PomeGuard addresses this by encoding</w:t>
      </w:r>
      <w:r>
        <w:rPr>
          <w:rFonts w:ascii="Times New Roman" w:hAnsi="Times New Roman"/>
          <w:sz w:val="20"/>
        </w:rPr>
        <w:t xml:space="preserve"> </w:t>
      </w:r>
      <w:r>
        <w:rPr>
          <w:rFonts w:ascii="Times New Roman" w:hAnsi="Times New Roman"/>
          <w:sz w:val="20"/>
        </w:rPr>
        <w:t xml:space="preserve">existing published degradation relationships from fruit biochemistry</w:t>
      </w:r>
      <w:r>
        <w:rPr>
          <w:rFonts w:ascii="Times New Roman" w:hAnsi="Times New Roman"/>
          <w:sz w:val="20"/>
        </w:rPr>
        <w:t xml:space="preserve"> </w:t>
      </w:r>
      <w:r>
        <w:rPr>
          <w:rFonts w:ascii="Times New Roman" w:hAnsi="Times New Roman"/>
          <w:sz w:val="20"/>
        </w:rPr>
        <w:t xml:space="preserve">literature (Sharma et al. 2017; Gil et al. 2000) directly into the</w:t>
      </w:r>
      <w:r>
        <w:rPr>
          <w:rFonts w:ascii="Times New Roman" w:hAnsi="Times New Roman"/>
          <w:sz w:val="20"/>
        </w:rPr>
        <w:t xml:space="preserve"> </w:t>
      </w:r>
      <w:r>
        <w:rPr>
          <w:rFonts w:ascii="Times New Roman" w:hAnsi="Times New Roman"/>
          <w:sz w:val="20"/>
        </w:rPr>
        <w:t xml:space="preserve">ontology’s inference layer.</w:t>
      </w:r>
    </w:p>
    <w:bookmarkEnd w:id="11"/>
    <w:bookmarkStart w:id="12" w:name="multi-agent-systems-in-agricultural-ai"/>
    <w:p>
      <w:pPr>
        <w:pStyle w:val="Heading2"/>
      </w:pPr>
      <w:r>
        <w:t xml:space="preserve">Multi-Agent Systems in Agricultural AI</w:t>
      </w:r>
    </w:p>
    <w:p>
      <w:pPr>
        <w:pStyle w:val="FirstParagraph"/>
      </w:pPr>
      <w:r>
        <w:t xml:space="preserve">Autonomous agent frameworks have found application in crop irrigation</w:t>
      </w:r>
      <w:r>
        <w:t xml:space="preserve"> </w:t>
      </w:r>
      <w:r>
        <w:t xml:space="preserve">scheduling (Stone and Veloso 2000), supply chain traceability, and</w:t>
      </w:r>
      <w:r>
        <w:t xml:space="preserve"> </w:t>
      </w:r>
      <w:r>
        <w:t xml:space="preserve">precision field monitoring with UAVs. The general argument for</w:t>
      </w:r>
      <w:r>
        <w:t xml:space="preserve"> </w:t>
      </w:r>
      <w:r>
        <w:t xml:space="preserve">multi-agent decomposition—distributing distinct perceptual, reasoning,</w:t>
      </w:r>
      <w:r>
        <w:t xml:space="preserve"> </w:t>
      </w:r>
      <w:r>
        <w:t xml:space="preserve">and actuation responsibilities across loosely coupled agents with</w:t>
      </w:r>
      <w:r>
        <w:t xml:space="preserve"> </w:t>
      </w:r>
      <w:r>
        <w:t xml:space="preserve">message-passing state—is well established in the MAS literature</w:t>
      </w:r>
      <w:r>
        <w:t xml:space="preserve"> </w:t>
      </w:r>
      <w:r>
        <w:t xml:space="preserve">(Wooldridge 2009; Ferber 1999). In agricultural contexts, Dorri et</w:t>
      </w:r>
      <w:r>
        <w:t xml:space="preserve"> </w:t>
      </w:r>
      <w:r>
        <w:t xml:space="preserve">al. (Dorri et al. 2018) survey agent-based IoT architectures, noting</w:t>
      </w:r>
      <w:r>
        <w:t xml:space="preserve"> </w:t>
      </w:r>
      <w:r>
        <w:t xml:space="preserve">agent modularity as the key property enabling sensor heterogeneity at</w:t>
      </w:r>
      <w:r>
        <w:t xml:space="preserve"> </w:t>
      </w:r>
      <w:r>
        <w:t xml:space="preserve">farm scale.</w:t>
      </w:r>
    </w:p>
    <w:p>
      <w:pPr>
        <w:pStyle w:val="BodyText"/>
        <w:jc w:val="both"/>
      </w:pPr>
      <w:r>
        <w:rPr>
          <w:rFonts w:ascii="Times New Roman" w:hAnsi="Times New Roman"/>
          <w:sz w:val="20"/>
        </w:rPr>
        <w:t xml:space="preserve">LangGraph-based agentic pipelines—specifically those using a</w:t>
      </w:r>
      <w:r>
        <w:rPr>
          <w:rFonts w:ascii="Times New Roman" w:hAnsi="Times New Roman"/>
          <w:sz w:val="20"/>
        </w:rPr>
        <w:t xml:space="preserve"> </w:t>
      </w:r>
      <w:r>
        <w:rPr>
          <w:rFonts w:ascii="Times New Roman" w:hAnsi="Times New Roman"/>
          <w:sz w:val="20"/>
        </w:rPr>
        <w:t xml:space="preserve">StateGraph abstraction to define typed node-to-node transitions with</w:t>
      </w:r>
      <w:r>
        <w:rPr>
          <w:rFonts w:ascii="Times New Roman" w:hAnsi="Times New Roman"/>
          <w:sz w:val="20"/>
        </w:rPr>
        <w:t xml:space="preserve"> </w:t>
      </w:r>
      <w:r>
        <w:rPr>
          <w:rFonts w:ascii="Times New Roman" w:hAnsi="Times New Roman"/>
          <w:sz w:val="20"/>
        </w:rPr>
        <w:t xml:space="preserve">shared state and checkpoint-based recovery—are a recent development</w:t>
      </w:r>
      <w:r>
        <w:rPr>
          <w:rFonts w:ascii="Times New Roman" w:hAnsi="Times New Roman"/>
          <w:sz w:val="20"/>
        </w:rPr>
        <w:t xml:space="preserve"> </w:t>
      </w:r>
      <w:r>
        <w:rPr>
          <w:rFonts w:ascii="Times New Roman" w:hAnsi="Times New Roman"/>
          <w:sz w:val="20"/>
        </w:rPr>
        <w:t xml:space="preserve">(LangChain Inc. 2024) not yet well-represented in peer-reviewed</w:t>
      </w:r>
      <w:r>
        <w:rPr>
          <w:rFonts w:ascii="Times New Roman" w:hAnsi="Times New Roman"/>
          <w:sz w:val="20"/>
        </w:rPr>
        <w:t xml:space="preserve"> </w:t>
      </w:r>
      <w:r>
        <w:rPr>
          <w:rFonts w:ascii="Times New Roman" w:hAnsi="Times New Roman"/>
          <w:sz w:val="20"/>
        </w:rPr>
        <w:t xml:space="preserve">agricultural AI literature. The StateGraph model is particularly suited</w:t>
      </w:r>
      <w:r>
        <w:rPr>
          <w:rFonts w:ascii="Times New Roman" w:hAnsi="Times New Roman"/>
          <w:sz w:val="20"/>
        </w:rPr>
        <w:t xml:space="preserve"> </w:t>
      </w:r>
      <w:r>
        <w:rPr>
          <w:rFonts w:ascii="Times New Roman" w:hAnsi="Times New Roman"/>
          <w:sz w:val="20"/>
        </w:rPr>
        <w:t xml:space="preserve">to this domain because agricultural inference pipelines have</w:t>
      </w:r>
      <w:r>
        <w:rPr>
          <w:rFonts w:ascii="Times New Roman" w:hAnsi="Times New Roman"/>
          <w:sz w:val="20"/>
        </w:rPr>
        <w:t xml:space="preserve"> </w:t>
      </w:r>
      <w:r>
        <w:rPr>
          <w:rFonts w:ascii="Times New Roman" w:hAnsi="Times New Roman"/>
          <w:sz w:val="20"/>
        </w:rPr>
        <w:t xml:space="preserve">well-defined sequential agents (vision → environmental context →</w:t>
      </w:r>
      <w:r>
        <w:rPr>
          <w:rFonts w:ascii="Times New Roman" w:hAnsi="Times New Roman"/>
          <w:sz w:val="20"/>
        </w:rPr>
        <w:t xml:space="preserve"> </w:t>
      </w:r>
      <w:r>
        <w:rPr>
          <w:rFonts w:ascii="Times New Roman" w:hAnsi="Times New Roman"/>
          <w:sz w:val="20"/>
        </w:rPr>
        <w:t xml:space="preserve">symbolic reasoning → report) with clear conditional branching points</w:t>
      </w:r>
      <w:r>
        <w:rPr>
          <w:rFonts w:ascii="Times New Roman" w:hAnsi="Times New Roman"/>
          <w:sz w:val="20"/>
        </w:rPr>
        <w:t xml:space="preserve"> </w:t>
      </w:r>
      <w:r>
        <w:rPr>
          <w:rFonts w:ascii="Times New Roman" w:hAnsi="Times New Roman"/>
          <w:sz w:val="20"/>
        </w:rPr>
        <w:t xml:space="preserve">(e.g., bypassing phytochemical inference when disease is absent) and</w:t>
      </w:r>
      <w:r>
        <w:rPr>
          <w:rFonts w:ascii="Times New Roman" w:hAnsi="Times New Roman"/>
          <w:sz w:val="20"/>
        </w:rPr>
        <w:t xml:space="preserve"> </w:t>
      </w:r>
      <w:r>
        <w:rPr>
          <w:rFonts w:ascii="Times New Roman" w:hAnsi="Times New Roman"/>
          <w:sz w:val="20"/>
        </w:rPr>
        <w:t xml:space="preserve">real failure modes (network dropout between field and inference server)</w:t>
      </w:r>
      <w:r>
        <w:rPr>
          <w:rFonts w:ascii="Times New Roman" w:hAnsi="Times New Roman"/>
          <w:sz w:val="20"/>
        </w:rPr>
        <w:t xml:space="preserve"> </w:t>
      </w:r>
      <w:r>
        <w:rPr>
          <w:rFonts w:ascii="Times New Roman" w:hAnsi="Times New Roman"/>
          <w:sz w:val="20"/>
        </w:rPr>
        <w:t xml:space="preserve">that checkpoint-based recovery directly addresses.</w:t>
      </w:r>
    </w:p>
    <w:bookmarkEnd w:id="12"/>
    <w:bookmarkStart w:id="13" w:name="non-destructive-phytochemical-assessment"/>
    <w:p>
      <w:pPr>
        <w:pStyle w:val="Heading2"/>
      </w:pPr>
      <w:r>
        <w:t xml:space="preserve">Non-Destructive Phytochemical Assessment</w:t>
      </w:r>
    </w:p>
    <w:p>
      <w:pPr>
        <w:pStyle w:val="FirstParagraph"/>
      </w:pPr>
      <w:r>
        <w:t xml:space="preserve">Near-infrared (NIR) spectroscopy is the established gold standard for</w:t>
      </w:r>
      <w:r>
        <w:t xml:space="preserve"> </w:t>
      </w:r>
      <w:r>
        <w:t xml:space="preserve">non-destructive quality assessment of fresh produce. Pasquini (Pasquini</w:t>
      </w:r>
      <w:r>
        <w:t xml:space="preserve"> </w:t>
      </w:r>
      <w:r>
        <w:t xml:space="preserve">2003) provides a thorough treatment of the technique; subsequent work</w:t>
      </w:r>
      <w:r>
        <w:t xml:space="preserve"> </w:t>
      </w:r>
      <w:r>
        <w:t xml:space="preserve">applied NIR to pomegranate juice quality prediction with reasonable</w:t>
      </w:r>
      <w:r>
        <w:t xml:space="preserve"> </w:t>
      </w:r>
      <w:r>
        <w:t xml:space="preserve">accuracy (ElMasry and Wirth 2012). Raman spectroscopy and hyperspectral</w:t>
      </w:r>
      <w:r>
        <w:t xml:space="preserve"> </w:t>
      </w:r>
      <w:r>
        <w:t xml:space="preserve">imaging have extended this work to surface-based compound mapping, but</w:t>
      </w:r>
      <w:r>
        <w:t xml:space="preserve"> </w:t>
      </w:r>
      <w:r>
        <w:t xml:space="preserve">all three approaches share the same practical limitations:</w:t>
      </w:r>
      <w:r>
        <w:t xml:space="preserve"> </w:t>
      </w:r>
      <w:r>
        <w:t xml:space="preserve">instrumentation costs above Rs. 15–50 lakhs, specialised operator</w:t>
      </w:r>
      <w:r>
        <w:t xml:space="preserve"> </w:t>
      </w:r>
      <w:r>
        <w:t xml:space="preserve">knowledge, and physical contact or proximity requirements that are</w:t>
      </w:r>
      <w:r>
        <w:t xml:space="preserve"> </w:t>
      </w:r>
      <w:r>
        <w:t xml:space="preserve">simply incompatible with field-scale smallholder deployment in rural</w:t>
      </w:r>
      <w:r>
        <w:t xml:space="preserve"> </w:t>
      </w:r>
      <w:r>
        <w:t xml:space="preserve">Maharashtra.</w:t>
      </w:r>
    </w:p>
    <w:p>
      <w:pPr>
        <w:pStyle w:val="BodyText"/>
        <w:jc w:val="both"/>
      </w:pPr>
      <w:r>
        <w:rPr>
          <w:rFonts w:ascii="Times New Roman" w:hAnsi="Times New Roman"/>
          <w:sz w:val="20"/>
        </w:rPr>
        <w:t xml:space="preserve">PomeGuard’s ontology-based inference approach sacrifices spectroscopic</w:t>
      </w:r>
      <w:r>
        <w:rPr>
          <w:rFonts w:ascii="Times New Roman" w:hAnsi="Times New Roman"/>
          <w:sz w:val="20"/>
        </w:rPr>
        <w:t xml:space="preserve"> </w:t>
      </w:r>
      <w:r>
        <w:rPr>
          <w:rFonts w:ascii="Times New Roman" w:hAnsi="Times New Roman"/>
          <w:sz w:val="20"/>
        </w:rPr>
        <w:t xml:space="preserve">precision—it produces a compound status estimate (Degraded, Reduced,</w:t>
      </w:r>
      <w:r>
        <w:rPr>
          <w:rFonts w:ascii="Times New Roman" w:hAnsi="Times New Roman"/>
          <w:sz w:val="20"/>
        </w:rPr>
        <w:t xml:space="preserve"> </w:t>
      </w:r>
      <w:r>
        <w:rPr>
          <w:rFonts w:ascii="Times New Roman" w:hAnsi="Times New Roman"/>
          <w:sz w:val="20"/>
        </w:rPr>
        <w:t xml:space="preserve">Optimal) rather than a calibrated concentration in mg/100 g—but</w:t>
      </w:r>
      <w:r>
        <w:rPr>
          <w:rFonts w:ascii="Times New Roman" w:hAnsi="Times New Roman"/>
          <w:sz w:val="20"/>
        </w:rPr>
        <w:t xml:space="preserve"> </w:t>
      </w:r>
      <w:r>
        <w:rPr>
          <w:rFonts w:ascii="Times New Roman" w:hAnsi="Times New Roman"/>
          <w:sz w:val="20"/>
        </w:rPr>
        <w:t xml:space="preserve">operates from a standard smartphone camera, requires no specialised</w:t>
      </w:r>
      <w:r>
        <w:rPr>
          <w:rFonts w:ascii="Times New Roman" w:hAnsi="Times New Roman"/>
          <w:sz w:val="20"/>
        </w:rPr>
        <w:t xml:space="preserve"> </w:t>
      </w:r>
      <w:r>
        <w:rPr>
          <w:rFonts w:ascii="Times New Roman" w:hAnsi="Times New Roman"/>
          <w:sz w:val="20"/>
        </w:rPr>
        <w:t xml:space="preserve">hardware, and costs essentially nothing to deploy beyond the backend</w:t>
      </w:r>
      <w:r>
        <w:rPr>
          <w:rFonts w:ascii="Times New Roman" w:hAnsi="Times New Roman"/>
          <w:sz w:val="20"/>
        </w:rPr>
        <w:t xml:space="preserve"> </w:t>
      </w:r>
      <w:r>
        <w:rPr>
          <w:rFonts w:ascii="Times New Roman" w:hAnsi="Times New Roman"/>
          <w:sz w:val="20"/>
        </w:rPr>
        <w:t xml:space="preserve">server infrastructure already required for vision inference. For the</w:t>
      </w:r>
      <w:r>
        <w:rPr>
          <w:rFonts w:ascii="Times New Roman" w:hAnsi="Times New Roman"/>
          <w:sz w:val="20"/>
        </w:rPr>
        <w:t xml:space="preserve"> </w:t>
      </w:r>
      <w:r>
        <w:rPr>
          <w:rFonts w:ascii="Times New Roman" w:hAnsi="Times New Roman"/>
          <w:sz w:val="20"/>
        </w:rPr>
        <w:t xml:space="preserve">economic decision context (is this lot exportable?), categorical status</w:t>
      </w:r>
      <w:r>
        <w:rPr>
          <w:rFonts w:ascii="Times New Roman" w:hAnsi="Times New Roman"/>
          <w:sz w:val="20"/>
        </w:rPr>
        <w:t xml:space="preserve"> </w:t>
      </w:r>
      <w:r>
        <w:rPr>
          <w:rFonts w:ascii="Times New Roman" w:hAnsi="Times New Roman"/>
          <w:sz w:val="20"/>
        </w:rPr>
        <w:t xml:space="preserve">estimates are often sufficient. This is a deliberate trade-off, not an</w:t>
      </w:r>
      <w:r>
        <w:rPr>
          <w:rFonts w:ascii="Times New Roman" w:hAnsi="Times New Roman"/>
          <w:sz w:val="20"/>
        </w:rPr>
        <w:t xml:space="preserve"> </w:t>
      </w:r>
      <w:r>
        <w:rPr>
          <w:rFonts w:ascii="Times New Roman" w:hAnsi="Times New Roman"/>
          <w:sz w:val="20"/>
        </w:rPr>
        <w:t xml:space="preserve">approximation made from ignorance.</w:t>
      </w:r>
    </w:p>
    <w:bookmarkEnd w:id="13"/>
    <w:bookmarkEnd w:id="14"/>
    <w:bookmarkStart w:id="15" w:name="sec:problem"/>
    <w:p>
      <w:pPr>
        <w:pStyle w:val="Heading1"/>
      </w:pPr>
      <w:r>
        <w:t xml:space="preserve">Problem Formulation</w:t>
      </w:r>
    </w:p>
    <w:p>
      <w:pPr>
        <w:pStyle w:val="FirstParagraph"/>
      </w:pPr>
      <w:r>
        <w:t xml:space="preserve">PomeGuard addresses two coupled inference problems, each ill-posed in</w:t>
      </w:r>
      <w:r>
        <w:t xml:space="preserve"> </w:t>
      </w:r>
      <w:r>
        <w:t xml:space="preserve">isolation but tractable when solved jointly.</w:t>
      </w:r>
    </w:p>
    <w:p>
      <w:pPr>
        <w:pStyle w:val="BodyText"/>
        <w:jc w:val="both"/>
      </w:pPr>
      <w:r>
        <w:rPr>
          <w:b/>
          <w:bCs/>
        </w:rPr>
        <w:t xml:space="preserve">Problem 1 — Disease Classification.</w:t>
      </w:r>
      <w:r>
        <w:rPr>
          <w:rFonts w:ascii="Times New Roman" w:hAnsi="Times New Roman"/>
          <w:sz w:val="20"/>
        </w:rPr>
        <w:t xml:space="preserve"> </w:t>
      </w:r>
      <w:r>
        <w:rPr>
          <w:rFonts w:ascii="Times New Roman" w:hAnsi="Times New Roman"/>
          <w:sz w:val="20"/>
        </w:rPr>
        <w:t xml:space="preserve">Let</w:t>
      </w:r>
      <w:r>
        <w:rPr>
          <w:rFonts w:ascii="Times New Roman" w:hAnsi="Times New Roman"/>
          <w:sz w:val="20"/>
        </w:rPr>
        <w:t xml:space="preserve"> </w:t>
      </w:r>
      <m:oMath>
        <m:r>
          <m:rPr>
            <m:scr m:val="script"/>
            <m:sty m:val="p"/>
          </m:rPr>
          <m:t>I</m:t>
        </m:r>
      </m:oMath>
      <w:r>
        <w:rPr>
          <w:rFonts w:ascii="Times New Roman" w:hAnsi="Times New Roman"/>
          <w:sz w:val="20"/>
        </w:rPr>
        <w:t xml:space="preserve"> </w:t>
      </w:r>
      <w:r>
        <w:rPr>
          <w:rFonts w:ascii="Times New Roman" w:hAnsi="Times New Roman"/>
          <w:sz w:val="20"/>
        </w:rPr>
        <w:t xml:space="preserve">be the space</w:t>
      </w:r>
      <w:r>
        <w:rPr>
          <w:rFonts w:ascii="Times New Roman" w:hAnsi="Times New Roman"/>
          <w:sz w:val="20"/>
        </w:rPr>
        <w:t xml:space="preserve"> </w:t>
      </w:r>
      <w:r>
        <w:rPr>
          <w:rFonts w:ascii="Times New Roman" w:hAnsi="Times New Roman"/>
          <w:sz w:val="20"/>
        </w:rPr>
        <w:t xml:space="preserve">of RGB fruit images and</w:t>
      </w:r>
      <w:r>
        <w:rPr>
          <w:rFonts w:ascii="Times New Roman" w:hAnsi="Times New Roman"/>
          <w:sz w:val="20"/>
        </w:rPr>
        <w:t xml:space="preserve"> </w:t>
      </w:r>
      <m:oMath>
        <m:r>
          <m:rPr>
            <m:scr m:val="script"/>
            <m:sty m:val="p"/>
          </m:rPr>
          <m:t>D</m:t>
        </m:r>
        <m:r>
          <m:rPr>
            <m:sty m:val="p"/>
          </m:rPr>
          <m:t>=</m:t>
        </m:r>
        <m:r>
          <m:rPr>
            <m:sty m:val="p"/>
          </m:rPr>
          <m:t>{</m:t>
        </m:r>
        <m:r>
          <m:rPr>
            <m:nor/>
            <m:sty m:val="i"/>
          </m:rPr>
          <m:t>Healthy</m:t>
        </m:r>
        <m:r>
          <m:rPr>
            <m:sty m:val="p"/>
          </m:rPr>
          <m:t>,</m:t>
        </m:r>
        <m:r>
          <m:t> </m:t>
        </m:r>
        <m:r>
          <m:rPr>
            <m:nor/>
            <m:sty m:val="i"/>
          </m:rPr>
          <m:t>BacterialBlight</m:t>
        </m:r>
        <m:r>
          <m:rPr>
            <m:sty m:val="p"/>
          </m:rPr>
          <m:t>,</m:t>
        </m:r>
        <m:r>
          <m:t> </m:t>
        </m:r>
        <m:r>
          <m:rPr>
            <m:nor/>
            <m:sty m:val="i"/>
          </m:rPr>
          <m:t>Anthracnose</m:t>
        </m:r>
        <m:r>
          <m:rPr>
            <m:sty m:val="p"/>
          </m:rPr>
          <m:t>,</m:t>
        </m:r>
        <m:r>
          <m:t> </m:t>
        </m:r>
        <m:r>
          <m:rPr>
            <m:nor/>
            <m:sty m:val="i"/>
          </m:rPr>
          <m:t>Cercospora</m:t>
        </m:r>
        <m:r>
          <m:rPr>
            <m:sty m:val="p"/>
          </m:rPr>
          <m:t>,</m:t>
        </m:r>
        <m:r>
          <m:t> </m:t>
        </m:r>
        <m:r>
          <m:rPr>
            <m:nor/>
            <m:sty m:val="i"/>
          </m:rPr>
          <m:t>Alternaria</m:t>
        </m:r>
        <m:r>
          <m:rPr>
            <m:sty m:val="p"/>
          </m:rPr>
          <m:t>}</m:t>
        </m:r>
      </m:oMath>
      <w:r>
        <w:rPr>
          <w:rFonts w:ascii="Times New Roman" w:hAnsi="Times New Roman"/>
          <w:sz w:val="20"/>
        </w:rPr>
        <w:t xml:space="preserve"> </w:t>
      </w:r>
      <w:r>
        <w:rPr>
          <w:rFonts w:ascii="Times New Roman" w:hAnsi="Times New Roman"/>
          <w:sz w:val="20"/>
        </w:rPr>
        <w:t xml:space="preserve">the set of five disease categories. Given an input image</w:t>
      </w:r>
      <w:r>
        <w:rPr>
          <w:rFonts w:ascii="Times New Roman" w:hAnsi="Times New Roman"/>
          <w:sz w:val="20"/>
        </w:rPr>
        <w:t xml:space="preserve"> </w:t>
      </w:r>
      <m:oMath>
        <m:r>
          <m:t>I</m:t>
        </m:r>
        <m:r>
          <m:rPr>
            <m:sty m:val="p"/>
          </m:rPr>
          <m:t>∈</m:t>
        </m:r>
        <m:r>
          <m:rPr>
            <m:scr m:val="script"/>
            <m:sty m:val="p"/>
          </m:rPr>
          <m:t>I</m:t>
        </m:r>
      </m:oMath>
      <w:r>
        <w:rPr>
          <w:rFonts w:ascii="Times New Roman" w:hAnsi="Times New Roman"/>
          <w:sz w:val="20"/>
        </w:rPr>
        <w:t xml:space="preserve">, learn a classifier</w:t>
      </w:r>
      <w:r>
        <w:rPr>
          <w:rFonts w:ascii="Times New Roman" w:hAnsi="Times New Roman"/>
          <w:sz w:val="20"/>
        </w:rPr>
        <w:t xml:space="preserve"> </w:t>
      </w:r>
      <m:oMath>
        <m:sSub>
          <m:e>
            <m:r>
              <m:t>f</m:t>
            </m:r>
          </m:e>
          <m:sub>
            <m:r>
              <m:t>θ</m:t>
            </m:r>
          </m:sub>
        </m:sSub>
        <m:r>
          <m:rPr>
            <m:sty m:val="p"/>
          </m:rPr>
          <m:t>:</m:t>
        </m:r>
        <m:r>
          <m:rPr>
            <m:scr m:val="script"/>
            <m:sty m:val="p"/>
          </m:rPr>
          <m:t>I</m:t>
        </m:r>
        <m:r>
          <m:rPr>
            <m:sty m:val="p"/>
          </m:rPr>
          <m:t>→</m:t>
        </m:r>
        <m:r>
          <m:rPr>
            <m:scr m:val="script"/>
            <m:sty m:val="p"/>
          </m:rPr>
          <m:t>D</m:t>
        </m:r>
        <m:r>
          <m:rPr>
            <m:sty m:val="p"/>
          </m:rPr>
          <m:t>×</m:t>
        </m:r>
        <m:r>
          <m:rPr>
            <m:sty m:val="p"/>
          </m:rPr>
          <m:t>[</m:t>
        </m:r>
        <m:r>
          <m:t>0</m:t>
        </m:r>
        <m:r>
          <m:rPr>
            <m:sty m:val="p"/>
          </m:rPr>
          <m:t>,</m:t>
        </m:r>
        <m:r>
          <m:t>1</m:t>
        </m:r>
        <m:r>
          <m:rPr>
            <m:sty m:val="p"/>
          </m:rPr>
          <m:t>]</m:t>
        </m:r>
      </m:oMath>
      <w:r>
        <w:rPr>
          <w:rFonts w:ascii="Times New Roman" w:hAnsi="Times New Roman"/>
          <w:sz w:val="20"/>
        </w:rPr>
        <w:t xml:space="preserve"> </w:t>
      </w:r>
      <w:r>
        <w:rPr>
          <w:rFonts w:ascii="Times New Roman" w:hAnsi="Times New Roman"/>
          <w:sz w:val="20"/>
        </w:rPr>
        <w:t xml:space="preserve">that returns a</w:t>
      </w:r>
      <w:r>
        <w:rPr>
          <w:rFonts w:ascii="Times New Roman" w:hAnsi="Times New Roman"/>
          <w:sz w:val="20"/>
        </w:rPr>
        <w:t xml:space="preserve"> </w:t>
      </w:r>
      <w:r>
        <w:rPr>
          <w:rFonts w:ascii="Times New Roman" w:hAnsi="Times New Roman"/>
          <w:sz w:val="20"/>
        </w:rPr>
        <w:t xml:space="preserve">disease label</w:t>
      </w:r>
      <w:r>
        <w:rPr>
          <w:rFonts w:ascii="Times New Roman" w:hAnsi="Times New Roman"/>
          <w:sz w:val="20"/>
        </w:rPr>
        <w:t xml:space="preserve"> </w:t>
      </w:r>
      <m:oMath>
        <m:r>
          <m:t>d</m:t>
        </m:r>
        <m:r>
          <m:rPr>
            <m:sty m:val="p"/>
          </m:rPr>
          <m:t>∈</m:t>
        </m:r>
        <m:r>
          <m:rPr>
            <m:scr m:val="script"/>
            <m:sty m:val="p"/>
          </m:rPr>
          <m:t>D</m:t>
        </m:r>
      </m:oMath>
      <w:r>
        <w:rPr>
          <w:rFonts w:ascii="Times New Roman" w:hAnsi="Times New Roman"/>
          <w:sz w:val="20"/>
        </w:rPr>
        <w:t xml:space="preserve"> </w:t>
      </w:r>
      <w:r>
        <w:rPr>
          <w:rFonts w:ascii="Times New Roman" w:hAnsi="Times New Roman"/>
          <w:sz w:val="20"/>
        </w:rPr>
        <w:t xml:space="preserve">and confidence score</w:t>
      </w:r>
      <w:r>
        <w:rPr>
          <w:rFonts w:ascii="Times New Roman" w:hAnsi="Times New Roman"/>
          <w:sz w:val="20"/>
        </w:rPr>
        <w:t xml:space="preserve"> </w:t>
      </w:r>
      <m:oMath>
        <m:r>
          <m:t>c</m:t>
        </m:r>
        <m:r>
          <m:rPr>
            <m:sty m:val="p"/>
          </m:rPr>
          <m:t>∈</m:t>
        </m:r>
        <m:r>
          <m:rPr>
            <m:sty m:val="p"/>
          </m:rPr>
          <m:t>[</m:t>
        </m:r>
        <m:r>
          <m:t>0</m:t>
        </m:r>
        <m:r>
          <m:rPr>
            <m:sty m:val="p"/>
          </m:rPr>
          <m:t>,</m:t>
        </m:r>
        <m:r>
          <m:t>1</m:t>
        </m:r>
        <m:r>
          <m:rPr>
            <m:sty m:val="p"/>
          </m:rPr>
          <m:t>]</m:t>
        </m:r>
      </m:oMath>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Each diseased classification additionally carries a severity level</w:t>
      </w:r>
      <w:r>
        <w:rPr>
          <w:rFonts w:ascii="Times New Roman" w:hAnsi="Times New Roman"/>
          <w:sz w:val="20"/>
        </w:rPr>
        <w:t xml:space="preserve"> </w:t>
      </w:r>
      <m:oMath>
        <m:r>
          <m:t>s</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rPr>
          <w:rFonts w:ascii="Times New Roman" w:hAnsi="Times New Roman"/>
          <w:sz w:val="20"/>
        </w:rPr>
        <w:t xml:space="preserve"> </w:t>
      </w:r>
      <w:r>
        <w:rPr>
          <w:rFonts w:ascii="Times New Roman" w:hAnsi="Times New Roman"/>
          <w:sz w:val="20"/>
        </w:rPr>
        <w:t xml:space="preserve">derived from the extent of visible lesion</w:t>
      </w:r>
      <w:r>
        <w:rPr>
          <w:rFonts w:ascii="Times New Roman" w:hAnsi="Times New Roman"/>
          <w:sz w:val="20"/>
        </w:rPr>
        <w:t xml:space="preserve"> </w:t>
      </w:r>
      <w:r>
        <w:rPr>
          <w:rFonts w:ascii="Times New Roman" w:hAnsi="Times New Roman"/>
          <w:sz w:val="20"/>
        </w:rPr>
        <w:t xml:space="preserve">coverage, with</w:t>
      </w:r>
      <w:r>
        <w:rPr>
          <w:rFonts w:ascii="Times New Roman" w:hAnsi="Times New Roman"/>
          <w:sz w:val="20"/>
        </w:rPr>
        <w:t xml:space="preserve"> </w:t>
      </w:r>
      <m:oMath>
        <m:r>
          <m:t>s</m:t>
        </m:r>
        <m:r>
          <m:rPr>
            <m:sty m:val="p"/>
          </m:rPr>
          <m:t>=</m:t>
        </m:r>
        <m:r>
          <m:t>0</m:t>
        </m:r>
      </m:oMath>
      <w:r>
        <w:rPr>
          <w:rFonts w:ascii="Times New Roman" w:hAnsi="Times New Roman"/>
          <w:sz w:val="20"/>
        </w:rPr>
        <w:t xml:space="preserve"> </w:t>
      </w:r>
      <w:r>
        <w:rPr>
          <w:rFonts w:ascii="Times New Roman" w:hAnsi="Times New Roman"/>
          <w:sz w:val="20"/>
        </w:rPr>
        <w:t xml:space="preserve">reserved for Healthy instances.</w:t>
      </w:r>
    </w:p>
    <w:p>
      <w:pPr>
        <w:pStyle w:val="BodyText"/>
        <w:jc w:val="both"/>
      </w:pPr>
      <w:r>
        <w:rPr>
          <w:b/>
          <w:bCs/>
        </w:rPr>
        <w:t xml:space="preserve">Problem 2 — Phytochemical Inference.</w:t>
      </w:r>
      <w:r>
        <w:rPr>
          <w:rFonts w:ascii="Times New Roman" w:hAnsi="Times New Roman"/>
          <w:sz w:val="20"/>
        </w:rPr>
        <w:t xml:space="preserve"> </w:t>
      </w:r>
      <w:r>
        <w:rPr>
          <w:rFonts w:ascii="Times New Roman" w:hAnsi="Times New Roman"/>
          <w:sz w:val="20"/>
        </w:rPr>
        <w:t xml:space="preserve">Let</w:t>
      </w:r>
      <w:r>
        <w:rPr>
          <w:rFonts w:ascii="Times New Roman" w:hAnsi="Times New Roman"/>
          <w:sz w:val="20"/>
        </w:rPr>
        <w:t xml:space="preserve"> </w:t>
      </w:r>
      <m:oMath>
        <m:r>
          <m:rPr>
            <m:scr m:val="script"/>
            <m:sty m:val="p"/>
          </m:rPr>
          <m:t>P</m:t>
        </m:r>
        <m:r>
          <m:rPr>
            <m:sty m:val="p"/>
          </m:rPr>
          <m:t>=</m:t>
        </m:r>
        <m:r>
          <m:rPr>
            <m:sty m:val="p"/>
          </m:rPr>
          <m:t>{</m:t>
        </m:r>
        <m:r>
          <m:rPr>
            <m:nor/>
            <m:sty m:val="i"/>
          </m:rPr>
          <m:t>Anthocyanins</m:t>
        </m:r>
        <m:r>
          <m:rPr>
            <m:sty m:val="p"/>
          </m:rPr>
          <m:t>,</m:t>
        </m:r>
        <m:r>
          <m:t> </m:t>
        </m:r>
        <m:r>
          <m:rPr>
            <m:nor/>
            <m:sty m:val="i"/>
          </m:rPr>
          <m:t>Punicalagins</m:t>
        </m:r>
        <m:r>
          <m:rPr>
            <m:sty m:val="p"/>
          </m:rPr>
          <m:t>,</m:t>
        </m:r>
        <m:r>
          <m:t> </m:t>
        </m:r>
        <m:r>
          <m:rPr>
            <m:nor/>
            <m:sty m:val="i"/>
          </m:rPr>
          <m:t>EllagicAcid</m:t>
        </m:r>
        <m:r>
          <m:rPr>
            <m:sty m:val="p"/>
          </m:rPr>
          <m:t>}</m:t>
        </m:r>
      </m:oMath>
      <w:r>
        <w:rPr>
          <w:rFonts w:ascii="Times New Roman" w:hAnsi="Times New Roman"/>
          <w:sz w:val="20"/>
        </w:rPr>
        <w:t xml:space="preserve"> </w:t>
      </w:r>
      <w:r>
        <w:rPr>
          <w:rFonts w:ascii="Times New Roman" w:hAnsi="Times New Roman"/>
          <w:sz w:val="20"/>
        </w:rPr>
        <w:t xml:space="preserve">be the set of three target phytochemical</w:t>
      </w:r>
      <w:r>
        <w:rPr>
          <w:rFonts w:ascii="Times New Roman" w:hAnsi="Times New Roman"/>
          <w:sz w:val="20"/>
        </w:rPr>
        <w:t xml:space="preserve"> </w:t>
      </w:r>
      <w:r>
        <w:rPr>
          <w:rFonts w:ascii="Times New Roman" w:hAnsi="Times New Roman"/>
          <w:sz w:val="20"/>
        </w:rPr>
        <w:t xml:space="preserve">compounds. Let</w:t>
      </w:r>
      <w:r>
        <w:rPr>
          <w:rFonts w:ascii="Times New Roman" w:hAnsi="Times New Roman"/>
          <w:sz w:val="20"/>
        </w:rPr>
        <w:t xml:space="preserve"> </w:t>
      </w:r>
      <m:oMath>
        <m:r>
          <m:t>E</m:t>
        </m:r>
        <m:r>
          <m:rPr>
            <m:sty m:val="p"/>
          </m:rPr>
          <m:t>=</m:t>
        </m:r>
        <m:r>
          <m:rPr>
            <m:sty m:val="p"/>
          </m:rPr>
          <m:t>(</m:t>
        </m:r>
        <m:r>
          <m:t>T</m:t>
        </m:r>
        <m:r>
          <m:rPr>
            <m:sty m:val="p"/>
          </m:rPr>
          <m:t>,</m:t>
        </m:r>
        <m:r>
          <m:t>H</m:t>
        </m:r>
        <m:r>
          <m:rPr>
            <m:sty m:val="p"/>
          </m:rPr>
          <m:t>,</m:t>
        </m:r>
        <m:r>
          <m:t>U</m:t>
        </m:r>
        <m:r>
          <m:rPr>
            <m:sty m:val="p"/>
          </m:rPr>
          <m:t>)</m:t>
        </m:r>
      </m:oMath>
      <w:r>
        <w:rPr>
          <w:rFonts w:ascii="Times New Roman" w:hAnsi="Times New Roman"/>
          <w:sz w:val="20"/>
        </w:rPr>
        <w:t xml:space="preserve"> </w:t>
      </w:r>
      <w:r>
        <w:rPr>
          <w:rFonts w:ascii="Times New Roman" w:hAnsi="Times New Roman"/>
          <w:sz w:val="20"/>
        </w:rPr>
        <w:t xml:space="preserve">denote the environmental context vector,</w:t>
      </w:r>
      <w:r>
        <w:rPr>
          <w:rFonts w:ascii="Times New Roman" w:hAnsi="Times New Roman"/>
          <w:sz w:val="20"/>
        </w:rPr>
        <w:t xml:space="preserve"> </w:t>
      </w:r>
      <w:r>
        <w:rPr>
          <w:rFonts w:ascii="Times New Roman" w:hAnsi="Times New Roman"/>
          <w:sz w:val="20"/>
        </w:rPr>
        <w:t xml:space="preserve">where</w:t>
      </w:r>
      <w:r>
        <w:rPr>
          <w:rFonts w:ascii="Times New Roman" w:hAnsi="Times New Roman"/>
          <w:sz w:val="20"/>
        </w:rPr>
        <w:t xml:space="preserve"> </w:t>
      </w:r>
      <m:oMath>
        <m:r>
          <m:t>T</m:t>
        </m:r>
      </m:oMath>
      <w:r>
        <w:rPr>
          <w:rFonts w:ascii="Times New Roman" w:hAnsi="Times New Roman"/>
          <w:sz w:val="20"/>
        </w:rPr>
        <w:t xml:space="preserve"> </w:t>
      </w:r>
      <w:r>
        <w:rPr>
          <w:rFonts w:ascii="Times New Roman" w:hAnsi="Times New Roman"/>
          <w:sz w:val="20"/>
        </w:rPr>
        <w:t xml:space="preserve">is temperature in</w:t>
      </w:r>
      <w:r>
        <w:rPr>
          <w:rFonts w:ascii="Times New Roman" w:hAnsi="Times New Roman"/>
          <w:sz w:val="20"/>
        </w:rPr>
        <w:t xml:space="preserve"> </w:t>
      </w:r>
      <m:oMath>
        <m:sSup>
          <m:e>
            <m:r>
              <m:t>​</m:t>
            </m:r>
          </m:e>
          <m:sup>
            <m:r>
              <m:rPr>
                <m:sty m:val="p"/>
              </m:rPr>
              <m:t>∘</m:t>
            </m:r>
          </m:sup>
        </m:sSup>
      </m:oMath>
      <w:r>
        <w:rPr>
          <w:rFonts w:ascii="Times New Roman" w:hAnsi="Times New Roman"/>
          <w:sz w:val="20"/>
        </w:rPr>
        <w:t xml:space="preserve">C,</w:t>
      </w:r>
      <w:r>
        <w:rPr>
          <w:rFonts w:ascii="Times New Roman" w:hAnsi="Times New Roman"/>
          <w:sz w:val="20"/>
        </w:rPr>
        <w:t xml:space="preserve"> </w:t>
      </w:r>
      <m:oMath>
        <m:r>
          <m:t>H</m:t>
        </m:r>
      </m:oMath>
      <w:r>
        <w:rPr>
          <w:rFonts w:ascii="Times New Roman" w:hAnsi="Times New Roman"/>
          <w:sz w:val="20"/>
        </w:rPr>
        <w:t xml:space="preserve"> </w:t>
      </w:r>
      <w:r>
        <w:rPr>
          <w:rFonts w:ascii="Times New Roman" w:hAnsi="Times New Roman"/>
          <w:sz w:val="20"/>
        </w:rPr>
        <w:t xml:space="preserve">is relative humidity in</w:t>
      </w:r>
      <w:r>
        <w:rPr>
          <w:rFonts w:ascii="Times New Roman" w:hAnsi="Times New Roman"/>
          <w:sz w:val="20"/>
        </w:rPr>
        <w:t xml:space="preserve"> </w:t>
      </w:r>
      <w:r>
        <w:rPr>
          <w:rFonts w:ascii="Times New Roman" w:hAnsi="Times New Roman"/>
          <w:sz w:val="20"/>
        </w:rPr>
        <w:t xml:space="preserve">percentage, and</w:t>
      </w:r>
      <w:r>
        <w:rPr>
          <w:rFonts w:ascii="Times New Roman" w:hAnsi="Times New Roman"/>
          <w:sz w:val="20"/>
        </w:rPr>
        <w:t xml:space="preserve"> </w:t>
      </w:r>
      <m:oMath>
        <m:r>
          <m:t>U</m:t>
        </m:r>
      </m:oMath>
      <w:r>
        <w:rPr>
          <w:rFonts w:ascii="Times New Roman" w:hAnsi="Times New Roman"/>
          <w:sz w:val="20"/>
        </w:rPr>
        <w:t xml:space="preserve"> </w:t>
      </w:r>
      <w:r>
        <w:rPr>
          <w:rFonts w:ascii="Times New Roman" w:hAnsi="Times New Roman"/>
          <w:sz w:val="20"/>
        </w:rPr>
        <w:t xml:space="preserve">is UV irradiance in W/m</w:t>
      </w:r>
      <m:oMath>
        <m:sSup>
          <m:e>
            <m:r>
              <m:t>​</m:t>
            </m:r>
          </m:e>
          <m:sup>
            <m:r>
              <m:t>2</m:t>
            </m:r>
          </m:sup>
        </m:sSup>
      </m:oMath>
      <w:r>
        <w:rPr>
          <w:rFonts w:ascii="Times New Roman" w:hAnsi="Times New Roman"/>
          <w:sz w:val="20"/>
        </w:rPr>
        <w:t xml:space="preserve">. Given the disease label</w:t>
      </w:r>
      <w:r>
        <w:rPr>
          <w:rFonts w:ascii="Times New Roman" w:hAnsi="Times New Roman"/>
          <w:sz w:val="20"/>
        </w:rPr>
        <w:t xml:space="preserve"> </w:t>
      </w:r>
      <m:oMath>
        <m:r>
          <m:t>d</m:t>
        </m:r>
      </m:oMath>
      <w:r>
        <w:rPr>
          <w:rFonts w:ascii="Times New Roman" w:hAnsi="Times New Roman"/>
          <w:sz w:val="20"/>
        </w:rPr>
        <w:t xml:space="preserve">, severity level</w:t>
      </w:r>
      <w:r>
        <w:rPr>
          <w:rFonts w:ascii="Times New Roman" w:hAnsi="Times New Roman"/>
          <w:sz w:val="20"/>
        </w:rPr>
        <w:t xml:space="preserve"> </w:t>
      </w:r>
      <m:oMath>
        <m:r>
          <m:t>s</m:t>
        </m:r>
      </m:oMath>
      <w:r>
        <w:rPr>
          <w:rFonts w:ascii="Times New Roman" w:hAnsi="Times New Roman"/>
          <w:sz w:val="20"/>
        </w:rPr>
        <w:t xml:space="preserve">, and environmental context</w:t>
      </w:r>
      <w:r>
        <w:rPr>
          <w:rFonts w:ascii="Times New Roman" w:hAnsi="Times New Roman"/>
          <w:sz w:val="20"/>
        </w:rPr>
        <w:t xml:space="preserve"> </w:t>
      </w:r>
      <m:oMath>
        <m:r>
          <m:t>E</m:t>
        </m:r>
      </m:oMath>
      <w:r>
        <w:rPr>
          <w:rFonts w:ascii="Times New Roman" w:hAnsi="Times New Roman"/>
          <w:sz w:val="20"/>
        </w:rPr>
        <w:t xml:space="preserve">, infer for each</w:t>
      </w:r>
      <w:r>
        <w:rPr>
          <w:rFonts w:ascii="Times New Roman" w:hAnsi="Times New Roman"/>
          <w:sz w:val="20"/>
        </w:rPr>
        <w:t xml:space="preserve"> </w:t>
      </w:r>
      <w:r>
        <w:rPr>
          <w:rFonts w:ascii="Times New Roman" w:hAnsi="Times New Roman"/>
          <w:sz w:val="20"/>
        </w:rPr>
        <w:t xml:space="preserve">compound</w:t>
      </w:r>
      <w:r>
        <w:rPr>
          <w:rFonts w:ascii="Times New Roman" w:hAnsi="Times New Roman"/>
          <w:sz w:val="20"/>
        </w:rPr>
        <w:t xml:space="preserve"> </w:t>
      </w:r>
      <m:oMath>
        <m:r>
          <m:t>p</m:t>
        </m:r>
        <m:r>
          <m:rPr>
            <m:sty m:val="p"/>
          </m:rPr>
          <m:t>∈</m:t>
        </m:r>
        <m:r>
          <m:rPr>
            <m:scr m:val="script"/>
            <m:sty m:val="p"/>
          </m:rPr>
          <m:t>P</m:t>
        </m:r>
      </m:oMath>
      <w:r>
        <w:rPr>
          <w:rFonts w:ascii="Times New Roman" w:hAnsi="Times New Roman"/>
          <w:sz w:val="20"/>
        </w:rPr>
        <w:t xml:space="preserve"> </w:t>
      </w:r>
      <w:r>
        <w:rPr>
          <w:rFonts w:ascii="Times New Roman" w:hAnsi="Times New Roman"/>
          <w:sz w:val="20"/>
        </w:rPr>
        <w:t xml:space="preserve">a degradation tuple</w:t>
      </w:r>
      <w:r>
        <w:rPr>
          <w:rFonts w:ascii="Times New Roman" w:hAnsi="Times New Roman"/>
          <w:sz w:val="20"/>
        </w:rPr>
        <w:t xml:space="preserve"> </w:t>
      </w:r>
      <m:oMath>
        <m:r>
          <m:rPr>
            <m:sty m:val="p"/>
          </m:rPr>
          <m:t>(</m:t>
        </m:r>
        <m:sSub>
          <m:e>
            <m:r>
              <m:t>δ</m:t>
            </m:r>
          </m:e>
          <m:sub>
            <m:r>
              <m:t>p</m:t>
            </m:r>
          </m:sub>
        </m:sSub>
        <m:r>
          <m:rPr>
            <m:sty m:val="p"/>
          </m:rPr>
          <m:t>,</m:t>
        </m:r>
        <m:sSub>
          <m:e>
            <m:r>
              <m:t>κ</m:t>
            </m:r>
          </m:e>
          <m:sub>
            <m:r>
              <m:t>p</m:t>
            </m:r>
          </m:sub>
        </m:sSub>
        <m:r>
          <m:rPr>
            <m:sty m:val="p"/>
          </m:rPr>
          <m:t>)</m:t>
        </m:r>
      </m:oMath>
      <w:r>
        <w:rPr>
          <w:rFonts w:ascii="Times New Roman" w:hAnsi="Times New Roman"/>
          <w:sz w:val="20"/>
        </w:rPr>
        <w:t xml:space="preserve"> </w:t>
      </w:r>
      <w:r>
        <w:rPr>
          <w:rFonts w:ascii="Times New Roman" w:hAnsi="Times New Roman"/>
          <w:sz w:val="20"/>
        </w:rPr>
        <w:t xml:space="preserve">where</w:t>
      </w:r>
      <w:r>
        <w:rPr>
          <w:rFonts w:ascii="Times New Roman" w:hAnsi="Times New Roman"/>
          <w:sz w:val="20"/>
        </w:rPr>
        <w:t xml:space="preserve"> </w:t>
      </w:r>
      <m:oMath>
        <m:sSub>
          <m:e>
            <m:r>
              <m:t>δ</m:t>
            </m:r>
          </m:e>
          <m:sub>
            <m:r>
              <m:t>p</m:t>
            </m:r>
          </m:sub>
        </m:sSub>
        <m:r>
          <m:rPr>
            <m:sty m:val="p"/>
          </m:rPr>
          <m:t>∈</m:t>
        </m:r>
        <m:r>
          <m:rPr>
            <m:sty m:val="p"/>
          </m:rPr>
          <m:t>[</m:t>
        </m:r>
        <m:r>
          <m:t>0</m:t>
        </m:r>
        <m:r>
          <m:rPr>
            <m:sty m:val="p"/>
          </m:rPr>
          <m:t>,</m:t>
        </m:r>
        <m:r>
          <m:t>1</m:t>
        </m:r>
        <m:r>
          <m:rPr>
            <m:sty m:val="p"/>
          </m:rPr>
          <m:t>]</m:t>
        </m:r>
      </m:oMath>
      <w:r>
        <w:rPr>
          <w:rFonts w:ascii="Times New Roman" w:hAnsi="Times New Roman"/>
          <w:sz w:val="20"/>
        </w:rPr>
        <w:t xml:space="preserve"> </w:t>
      </w:r>
      <w:r>
        <w:rPr>
          <w:rFonts w:ascii="Times New Roman" w:hAnsi="Times New Roman"/>
          <w:sz w:val="20"/>
        </w:rPr>
        <w:t xml:space="preserve">is the fractional reduction from the cultivar</w:t>
      </w:r>
      <w:r>
        <w:rPr>
          <w:rFonts w:ascii="Times New Roman" w:hAnsi="Times New Roman"/>
          <w:sz w:val="20"/>
        </w:rPr>
        <w:t xml:space="preserve"> </w:t>
      </w:r>
      <w:r>
        <w:rPr>
          <w:rFonts w:ascii="Times New Roman" w:hAnsi="Times New Roman"/>
          <w:sz w:val="20"/>
        </w:rPr>
        <w:t xml:space="preserve">baseline and</w:t>
      </w:r>
      <w:r>
        <w:rPr>
          <w:rFonts w:ascii="Times New Roman" w:hAnsi="Times New Roman"/>
          <w:sz w:val="20"/>
        </w:rPr>
        <w:t xml:space="preserve"> </w:t>
      </w:r>
      <m:oMath>
        <m:sSub>
          <m:e>
            <m:r>
              <m:t>κ</m:t>
            </m:r>
          </m:e>
          <m:sub>
            <m:r>
              <m:t>p</m:t>
            </m:r>
          </m:sub>
        </m:sSub>
        <m:r>
          <m:rPr>
            <m:sty m:val="p"/>
          </m:rPr>
          <m:t>∈</m:t>
        </m:r>
        <m:r>
          <m:rPr>
            <m:sty m:val="p"/>
          </m:rPr>
          <m:t>[</m:t>
        </m:r>
        <m:r>
          <m:t>0</m:t>
        </m:r>
        <m:r>
          <m:rPr>
            <m:sty m:val="p"/>
          </m:rPr>
          <m:t>,</m:t>
        </m:r>
        <m:r>
          <m:t>1</m:t>
        </m:r>
        <m:r>
          <m:rPr>
            <m:sty m:val="p"/>
          </m:rPr>
          <m:t>]</m:t>
        </m:r>
      </m:oMath>
      <w:r>
        <w:rPr>
          <w:rFonts w:ascii="Times New Roman" w:hAnsi="Times New Roman"/>
          <w:sz w:val="20"/>
        </w:rPr>
        <w:t xml:space="preserve"> </w:t>
      </w:r>
      <w:r>
        <w:rPr>
          <w:rFonts w:ascii="Times New Roman" w:hAnsi="Times New Roman"/>
          <w:sz w:val="20"/>
        </w:rPr>
        <w:t xml:space="preserve">is the inference confidence. The</w:t>
      </w:r>
      <w:r>
        <w:rPr>
          <w:rFonts w:ascii="Times New Roman" w:hAnsi="Times New Roman"/>
          <w:sz w:val="20"/>
        </w:rPr>
        <w:t xml:space="preserve"> </w:t>
      </w:r>
      <w:r>
        <w:rPr>
          <w:rFonts w:ascii="Times New Roman" w:hAnsi="Times New Roman"/>
          <w:sz w:val="20"/>
        </w:rPr>
        <w:t xml:space="preserve">resulting nutritional score</w:t>
      </w:r>
      <w:r>
        <w:rPr>
          <w:rFonts w:ascii="Times New Roman" w:hAnsi="Times New Roman"/>
          <w:sz w:val="20"/>
        </w:rPr>
        <w:t xml:space="preserve"> </w:t>
      </w:r>
      <m:oMath>
        <m:r>
          <m:rPr>
            <m:scr m:val="script"/>
            <m:sty m:val="p"/>
          </m:rPr>
          <m:t>N</m:t>
        </m:r>
        <m:r>
          <m:rPr>
            <m:sty m:val="p"/>
          </m:rPr>
          <m:t>∈</m:t>
        </m:r>
        <m:r>
          <m:rPr>
            <m:sty m:val="p"/>
          </m:rPr>
          <m:t>[</m:t>
        </m:r>
        <m:r>
          <m:t>0</m:t>
        </m:r>
        <m:r>
          <m:rPr>
            <m:sty m:val="p"/>
          </m:rPr>
          <m:t>,</m:t>
        </m:r>
        <m:r>
          <m:t>100</m:t>
        </m:r>
        <m:r>
          <m:rPr>
            <m:sty m:val="p"/>
          </m:rPr>
          <m:t>]</m:t>
        </m:r>
      </m:oMath>
      <w:r>
        <w:rPr>
          <w:rFonts w:ascii="Times New Roman" w:hAnsi="Times New Roman"/>
          <w:sz w:val="20"/>
        </w:rPr>
        <w:t xml:space="preserve"> </w:t>
      </w:r>
      <w:r>
        <w:rPr>
          <w:rFonts w:ascii="Times New Roman" w:hAnsi="Times New Roman"/>
          <w:sz w:val="20"/>
        </w:rPr>
        <w:t xml:space="preserve">is a weighted</w:t>
      </w:r>
      <w:r>
        <w:rPr>
          <w:rFonts w:ascii="Times New Roman" w:hAnsi="Times New Roman"/>
          <w:sz w:val="20"/>
        </w:rPr>
        <w:t xml:space="preserve"> </w:t>
      </w:r>
      <w:r>
        <w:rPr>
          <w:rFonts w:ascii="Times New Roman" w:hAnsi="Times New Roman"/>
          <w:sz w:val="20"/>
        </w:rPr>
        <w:t xml:space="preserve">combination of compound-level degradation estimates.</w:t>
      </w:r>
    </w:p>
    <w:p>
      <w:pPr>
        <w:pStyle w:val="BodyText"/>
        <w:jc w:val="both"/>
      </w:pPr>
      <w:r>
        <w:rPr>
          <w:b/>
          <w:bCs/>
        </w:rPr>
        <w:t xml:space="preserve">The coupling challenge.</w:t>
      </w:r>
      <w:r>
        <w:rPr>
          <w:rFonts w:ascii="Times New Roman" w:hAnsi="Times New Roman"/>
          <w:sz w:val="20"/>
        </w:rPr>
        <w:t xml:space="preserve"> </w:t>
      </w:r>
      <w:r>
        <w:rPr>
          <w:rFonts w:ascii="Times New Roman" w:hAnsi="Times New Roman"/>
          <w:sz w:val="20"/>
        </w:rPr>
        <w:t xml:space="preserve">Phytochemical degradation</w:t>
      </w:r>
      <w:r>
        <w:rPr>
          <w:rFonts w:ascii="Times New Roman" w:hAnsi="Times New Roman"/>
          <w:sz w:val="20"/>
        </w:rPr>
        <w:t xml:space="preserve"> </w:t>
      </w:r>
      <m:oMath>
        <m:sSub>
          <m:e>
            <m:r>
              <m:t>δ</m:t>
            </m:r>
          </m:e>
          <m:sub>
            <m:r>
              <m:t>p</m:t>
            </m:r>
          </m:sub>
        </m:sSub>
      </m:oMath>
      <w:r>
        <w:rPr>
          <w:rFonts w:ascii="Times New Roman" w:hAnsi="Times New Roman"/>
          <w:sz w:val="20"/>
        </w:rPr>
        <w:t xml:space="preserve"> </w:t>
      </w:r>
      <w:r>
        <w:rPr>
          <w:rFonts w:ascii="Times New Roman" w:hAnsi="Times New Roman"/>
          <w:sz w:val="20"/>
        </w:rPr>
        <w:t xml:space="preserve">is not</w:t>
      </w:r>
      <w:r>
        <w:rPr>
          <w:rFonts w:ascii="Times New Roman" w:hAnsi="Times New Roman"/>
          <w:sz w:val="20"/>
        </w:rPr>
        <w:t xml:space="preserve"> </w:t>
      </w:r>
      <w:r>
        <w:rPr>
          <w:rFonts w:ascii="Times New Roman" w:hAnsi="Times New Roman"/>
          <w:sz w:val="20"/>
        </w:rPr>
        <w:t xml:space="preserve">directly observable from imagery alone; no deep network trained on</w:t>
      </w:r>
      <w:r>
        <w:rPr>
          <w:rFonts w:ascii="Times New Roman" w:hAnsi="Times New Roman"/>
          <w:sz w:val="20"/>
        </w:rPr>
        <w:t xml:space="preserve"> </w:t>
      </w:r>
      <w:r>
        <w:rPr>
          <w:rFonts w:ascii="Times New Roman" w:hAnsi="Times New Roman"/>
          <w:sz w:val="20"/>
        </w:rPr>
        <w:t xml:space="preserve">visual disease labels can recover compound concentrations without</w:t>
      </w:r>
      <w:r>
        <w:rPr>
          <w:rFonts w:ascii="Times New Roman" w:hAnsi="Times New Roman"/>
          <w:sz w:val="20"/>
        </w:rPr>
        <w:t xml:space="preserve"> </w:t>
      </w:r>
      <w:r>
        <w:rPr>
          <w:rFonts w:ascii="Times New Roman" w:hAnsi="Times New Roman"/>
          <w:sz w:val="20"/>
        </w:rPr>
        <w:t xml:space="preserve">labelled phytochemical training data, which does not exist at the scale</w:t>
      </w:r>
      <w:r>
        <w:rPr>
          <w:rFonts w:ascii="Times New Roman" w:hAnsi="Times New Roman"/>
          <w:sz w:val="20"/>
        </w:rPr>
        <w:t xml:space="preserve"> </w:t>
      </w:r>
      <w:r>
        <w:rPr>
          <w:rFonts w:ascii="Times New Roman" w:hAnsi="Times New Roman"/>
          <w:sz w:val="20"/>
        </w:rPr>
        <w:t xml:space="preserve">required for generalisation. The connection between</w:t>
      </w:r>
      <w:r>
        <w:rPr>
          <w:rFonts w:ascii="Times New Roman" w:hAnsi="Times New Roman"/>
          <w:sz w:val="20"/>
        </w:rPr>
        <w:t xml:space="preserve"> </w:t>
      </w:r>
      <m:oMath>
        <m:r>
          <m:t>d</m:t>
        </m:r>
      </m:oMath>
      <w:r>
        <w:rPr>
          <w:rFonts w:ascii="Times New Roman" w:hAnsi="Times New Roman"/>
          <w:sz w:val="20"/>
        </w:rPr>
        <w:t xml:space="preserve">,</w:t>
      </w:r>
      <w:r>
        <w:rPr>
          <w:rFonts w:ascii="Times New Roman" w:hAnsi="Times New Roman"/>
          <w:sz w:val="20"/>
        </w:rPr>
        <w:t xml:space="preserve"> </w:t>
      </w:r>
      <m:oMath>
        <m:r>
          <m:t>s</m:t>
        </m:r>
      </m:oMath>
      <w:r>
        <w:rPr>
          <w:rFonts w:ascii="Times New Roman" w:hAnsi="Times New Roman"/>
          <w:sz w:val="20"/>
        </w:rPr>
        <w:t xml:space="preserve">,</w:t>
      </w:r>
      <w:r>
        <w:rPr>
          <w:rFonts w:ascii="Times New Roman" w:hAnsi="Times New Roman"/>
          <w:sz w:val="20"/>
        </w:rPr>
        <w:t xml:space="preserve"> </w:t>
      </w:r>
      <m:oMath>
        <m:r>
          <m:t>E</m:t>
        </m:r>
      </m:oMath>
      <w:r>
        <w:rPr>
          <w:rFonts w:ascii="Times New Roman" w:hAnsi="Times New Roman"/>
          <w:sz w:val="20"/>
        </w:rPr>
        <w:t xml:space="preserve">, and</w:t>
      </w:r>
      <w:r>
        <w:rPr>
          <w:rFonts w:ascii="Times New Roman" w:hAnsi="Times New Roman"/>
          <w:sz w:val="20"/>
        </w:rPr>
        <w:t xml:space="preserve"> </w:t>
      </w:r>
      <m:oMath>
        <m:sSub>
          <m:e>
            <m:r>
              <m:t>δ</m:t>
            </m:r>
          </m:e>
          <m:sub>
            <m:r>
              <m:t>p</m:t>
            </m:r>
          </m:sub>
        </m:sSub>
      </m:oMath>
      <w:r>
        <w:rPr>
          <w:rFonts w:ascii="Times New Roman" w:hAnsi="Times New Roman"/>
          <w:sz w:val="20"/>
        </w:rPr>
        <w:t xml:space="preserve"> </w:t>
      </w:r>
      <w:r>
        <w:rPr>
          <w:rFonts w:ascii="Times New Roman" w:hAnsi="Times New Roman"/>
          <w:sz w:val="20"/>
        </w:rPr>
        <w:t xml:space="preserve">must be mediated through domain knowledge that encodes the</w:t>
      </w:r>
      <w:r>
        <w:rPr>
          <w:rFonts w:ascii="Times New Roman" w:hAnsi="Times New Roman"/>
          <w:sz w:val="20"/>
        </w:rPr>
        <w:t xml:space="preserve"> </w:t>
      </w:r>
      <w:r>
        <w:rPr>
          <w:rFonts w:ascii="Times New Roman" w:hAnsi="Times New Roman"/>
          <w:sz w:val="20"/>
        </w:rPr>
        <w:t xml:space="preserve">biochemical pathways by which specific pathogens and specific</w:t>
      </w:r>
      <w:r>
        <w:rPr>
          <w:rFonts w:ascii="Times New Roman" w:hAnsi="Times New Roman"/>
          <w:sz w:val="20"/>
        </w:rPr>
        <w:t xml:space="preserve"> </w:t>
      </w:r>
      <w:r>
        <w:rPr>
          <w:rFonts w:ascii="Times New Roman" w:hAnsi="Times New Roman"/>
          <w:sz w:val="20"/>
        </w:rPr>
        <w:t xml:space="preserve">environmental conditions degrade specific secondary metabolites. This is</w:t>
      </w:r>
      <w:r>
        <w:rPr>
          <w:rFonts w:ascii="Times New Roman" w:hAnsi="Times New Roman"/>
          <w:sz w:val="20"/>
        </w:rPr>
        <w:t xml:space="preserve"> </w:t>
      </w:r>
      <w:r>
        <w:rPr>
          <w:rFonts w:ascii="Times New Roman" w:hAnsi="Times New Roman"/>
          <w:sz w:val="20"/>
        </w:rPr>
        <w:t xml:space="preserve">precisely the role of the OWL 2 DL ontology in PomeGuard’s pipeline: not</w:t>
      </w:r>
      <w:r>
        <w:rPr>
          <w:rFonts w:ascii="Times New Roman" w:hAnsi="Times New Roman"/>
          <w:sz w:val="20"/>
        </w:rPr>
        <w:t xml:space="preserve"> </w:t>
      </w:r>
      <w:r>
        <w:rPr>
          <w:rFonts w:ascii="Times New Roman" w:hAnsi="Times New Roman"/>
          <w:sz w:val="20"/>
        </w:rPr>
        <w:t xml:space="preserve">to extract information from pixels, but to apply expert-encoded causal</w:t>
      </w:r>
      <w:r>
        <w:rPr>
          <w:rFonts w:ascii="Times New Roman" w:hAnsi="Times New Roman"/>
          <w:sz w:val="20"/>
        </w:rPr>
        <w:t xml:space="preserve"> </w:t>
      </w:r>
      <w:r>
        <w:rPr>
          <w:rFonts w:ascii="Times New Roman" w:hAnsi="Times New Roman"/>
          <w:sz w:val="20"/>
        </w:rPr>
        <w:t xml:space="preserve">knowledge to the extracted percepts.</w:t>
      </w:r>
    </w:p>
    <w:bookmarkEnd w:id="15"/>
    <w:bookmarkStart w:id="22" w:name="sec:architecture"/>
    <w:p>
      <w:pPr>
        <w:pStyle w:val="Heading1"/>
      </w:pPr>
      <w:r>
        <w:t xml:space="preserve">System Architecture</w:t>
      </w:r>
    </w:p>
    <w:p>
      <w:pPr>
        <w:pStyle w:val="FirstParagraph"/>
      </w:pPr>
      <w:r>
        <w:t xml:space="preserve">PomeGuard’s architecture consists of five integrated subsystems: a</w:t>
      </w:r>
      <w:r>
        <w:t xml:space="preserve"> </w:t>
      </w:r>
      <w:r>
        <w:t xml:space="preserve">computer vision pipeline, a knowledge ontology, an environmental stress</w:t>
      </w:r>
      <w:r>
        <w:t xml:space="preserve"> </w:t>
      </w:r>
      <w:r>
        <w:t xml:space="preserve">scorer, a LangGraph multi-agent orchestrator, and a reporting and</w:t>
      </w:r>
      <w:r>
        <w:t xml:space="preserve"> </w:t>
      </w:r>
      <w:r>
        <w:t xml:space="preserve">delivery layer. Fig. </w:t>
      </w:r>
      <w:hyperlink w:anchor="fig:architecture">
        <w:r>
          <w:rPr>
            <w:rStyle w:val="Hyperlink"/>
          </w:rPr>
          <w:t xml:space="preserve">1</w:t>
        </w:r>
      </w:hyperlink>
      <w:r>
        <w:t xml:space="preserve"> </w:t>
      </w:r>
      <w:r>
        <w:t xml:space="preserve">illustrates their relationships.</w:t>
      </w:r>
    </w:p>
    <w:p>
      <w:pPr>
        <w:pStyle w:val="BodyText"/>
        <w:jc w:val="both"/>
      </w:pPr>
      <w:r>
        <w:rPr>
          <w:rFonts w:ascii="Times New Roman" w:hAnsi="Times New Roman"/>
          <w:sz w:val="20"/>
        </w:rPr>
        <w:t xml:space="preserve">High-level architecture of PomeGuard. A LangGraph StateGraph</w:t>
      </w:r>
      <w:r>
        <w:rPr>
          <w:rFonts w:ascii="Times New Roman" w:hAnsi="Times New Roman"/>
          <w:sz w:val="20"/>
        </w:rPr>
        <w:t xml:space="preserve"> </w:t>
      </w:r>
      <w:r>
        <w:rPr>
          <w:rFonts w:ascii="Times New Roman" w:hAnsi="Times New Roman"/>
          <w:sz w:val="20"/>
        </w:rPr>
        <w:t xml:space="preserve">coordinates four agents over a shared typed state schema. The Vision</w:t>
      </w:r>
      <w:r>
        <w:rPr>
          <w:rFonts w:ascii="Times New Roman" w:hAnsi="Times New Roman"/>
          <w:sz w:val="20"/>
        </w:rPr>
        <w:t xml:space="preserve"> </w:t>
      </w:r>
      <w:r>
        <w:rPr>
          <w:rFonts w:ascii="Times New Roman" w:hAnsi="Times New Roman"/>
          <w:sz w:val="20"/>
        </w:rPr>
        <w:t xml:space="preserve">Agent classifies the disease and severity from the image; the</w:t>
      </w:r>
      <w:r>
        <w:rPr>
          <w:rFonts w:ascii="Times New Roman" w:hAnsi="Times New Roman"/>
          <w:sz w:val="20"/>
        </w:rPr>
        <w:t xml:space="preserve"> </w:t>
      </w:r>
      <w:r>
        <w:rPr>
          <w:rFonts w:ascii="Times New Roman" w:hAnsi="Times New Roman"/>
          <w:sz w:val="20"/>
        </w:rPr>
        <w:t xml:space="preserve">Environment Agent scores stress from temperature, humidity, and UV</w:t>
      </w:r>
      <w:r>
        <w:rPr>
          <w:rFonts w:ascii="Times New Roman" w:hAnsi="Times New Roman"/>
          <w:sz w:val="20"/>
        </w:rPr>
        <w:t xml:space="preserve"> </w:t>
      </w:r>
      <w:r>
        <w:rPr>
          <w:rFonts w:ascii="Times New Roman" w:hAnsi="Times New Roman"/>
          <w:sz w:val="20"/>
        </w:rPr>
        <w:t xml:space="preserve">irradiance; the Ontology Agent maps these signals to phytochemical</w:t>
      </w:r>
      <w:r>
        <w:rPr>
          <w:rFonts w:ascii="Times New Roman" w:hAnsi="Times New Roman"/>
          <w:sz w:val="20"/>
        </w:rPr>
        <w:t xml:space="preserve"> </w:t>
      </w:r>
      <w:r>
        <w:rPr>
          <w:rFonts w:ascii="Times New Roman" w:hAnsi="Times New Roman"/>
          <w:sz w:val="20"/>
        </w:rPr>
        <w:t xml:space="preserve">degradation through domain knowledge rules; and the Reporting Agent</w:t>
      </w:r>
      <w:r>
        <w:rPr>
          <w:rFonts w:ascii="Times New Roman" w:hAnsi="Times New Roman"/>
          <w:sz w:val="20"/>
        </w:rPr>
        <w:t xml:space="preserve"> </w:t>
      </w:r>
      <w:r>
        <w:rPr>
          <w:rFonts w:ascii="Times New Roman" w:hAnsi="Times New Roman"/>
          <w:sz w:val="20"/>
        </w:rPr>
        <w:t xml:space="preserve">assembles the final scored output. Conditional routing bypasses the</w:t>
      </w:r>
      <w:r>
        <w:rPr>
          <w:rFonts w:ascii="Times New Roman" w:hAnsi="Times New Roman"/>
          <w:sz w:val="20"/>
        </w:rPr>
        <w:t xml:space="preserve"> </w:t>
      </w:r>
      <w:r>
        <w:rPr>
          <w:rFonts w:ascii="Times New Roman" w:hAnsi="Times New Roman"/>
          <w:sz w:val="20"/>
        </w:rPr>
        <w:t xml:space="preserve">Ontology Agent for Healthy classifications, reducing unnecessary</w:t>
      </w:r>
      <w:r>
        <w:rPr>
          <w:rFonts w:ascii="Times New Roman" w:hAnsi="Times New Roman"/>
          <w:sz w:val="20"/>
        </w:rPr>
        <w:t xml:space="preserve"> </w:t>
      </w:r>
      <w:r>
        <w:rPr>
          <w:rFonts w:ascii="Times New Roman" w:hAnsi="Times New Roman"/>
          <w:sz w:val="20"/>
        </w:rPr>
        <w:t xml:space="preserve">inference overhead.</w:t>
      </w:r>
    </w:p>
    <w:bookmarkStart w:id="16" w:name="sec:vision"/>
    <w:p>
      <w:pPr>
        <w:pStyle w:val="Heading2"/>
      </w:pPr>
      <w:r>
        <w:t xml:space="preserve">Computer Vision Pipeline</w:t>
      </w:r>
    </w:p>
    <w:p>
      <w:pPr>
        <w:pStyle w:val="FirstParagraph"/>
      </w:pPr>
      <w:r>
        <w:t xml:space="preserve">The vision component uses EfficientNetB0 (Tan and Le 2019), initialised</w:t>
      </w:r>
      <w:r>
        <w:t xml:space="preserve"> </w:t>
      </w:r>
      <w:r>
        <w:t xml:space="preserve">with ImageNet (Deng et al. 2009) pre-trained weights via PyTorch’s</w:t>
      </w:r>
      <w:r>
        <w:t xml:space="preserve"> </w:t>
      </w:r>
      <w:r>
        <w:rPr>
          <w:rStyle w:val="VerbatimChar"/>
        </w:rPr>
        <w:t xml:space="preserve">torchvision.models</w:t>
      </w:r>
      <w:r>
        <w:t xml:space="preserve"> </w:t>
      </w:r>
      <w:r>
        <w:t xml:space="preserve">API (Paszke et al. 2019). EfficientNetB0’s baseline</w:t>
      </w:r>
      <w:r>
        <w:t xml:space="preserve"> </w:t>
      </w:r>
      <w:r>
        <w:t xml:space="preserve">configuration was retained: 5.3 million parameters, MBConv blocks with</w:t>
      </w:r>
      <w:r>
        <w:t xml:space="preserve"> </w:t>
      </w:r>
      <w:r>
        <w:t xml:space="preserve">squeeze-and-excitation, and swish activation throughout the feature</w:t>
      </w:r>
      <w:r>
        <w:t xml:space="preserve"> </w:t>
      </w:r>
      <w:r>
        <w:t xml:space="preserve">extractor. The final classification layer was replaced with a</w:t>
      </w:r>
      <w:r>
        <w:t xml:space="preserve"> </w:t>
      </w:r>
      <w:r>
        <w:t xml:space="preserve">domain-specific head comprising two linear stages with SiLU activation</w:t>
      </w:r>
      <w:r>
        <w:t xml:space="preserve"> </w:t>
      </w:r>
      <w:r>
        <w:t xml:space="preserve">and regularisation dropout. Specifically:</w:t>
      </w:r>
    </w:p>
    <w:p>
      <w:pPr>
        <w:pStyle w:val="BodyText"/>
        <w:jc w:val="both"/>
      </w:pPr>
      <m:oMathPara>
        <m:oMathParaPr>
          <m:jc m:val="center"/>
        </m:oMathParaPr>
        <m:oMath>
          <m:r>
            <m:rPr>
              <m:nor/>
              <m:sty m:val="p"/>
            </m:rPr>
            <m:t>Head</m:t>
          </m:r>
          <m:r>
            <m:rPr>
              <m:sty m:val="p"/>
            </m:rPr>
            <m:t>=</m:t>
          </m:r>
          <m:r>
            <m:rPr>
              <m:nor/>
              <m:sty m:val="p"/>
            </m:rPr>
            <m:t>Dropout</m:t>
          </m:r>
          <m:r>
            <m:rPr>
              <m:sty m:val="p"/>
            </m:rPr>
            <m:t>(</m:t>
          </m:r>
          <m:r>
            <m:t>0.4</m:t>
          </m:r>
          <m:r>
            <m:rPr>
              <m:sty m:val="p"/>
            </m:rPr>
            <m:t>)</m:t>
          </m:r>
          <m:r>
            <m:rPr>
              <m:sty m:val="p"/>
            </m:rPr>
            <m:t>→</m:t>
          </m:r>
          <m:r>
            <m:rPr>
              <m:nor/>
              <m:sty m:val="p"/>
            </m:rPr>
            <m:t>Linear</m:t>
          </m:r>
          <m:r>
            <m:rPr>
              <m:sty m:val="p"/>
            </m:rPr>
            <m:t>(</m:t>
          </m:r>
          <m:r>
            <m:t>1280</m:t>
          </m:r>
          <m:r>
            <m:rPr>
              <m:sty m:val="p"/>
            </m:rPr>
            <m:t>,</m:t>
          </m:r>
          <m:r>
            <m:t>256</m:t>
          </m:r>
          <m:r>
            <m:rPr>
              <m:sty m:val="p"/>
            </m:rPr>
            <m:t>)</m:t>
          </m:r>
          <m:r>
            <m:rPr>
              <m:sty m:val="p"/>
            </m:rPr>
            <m:t>→</m:t>
          </m:r>
          <m:r>
            <m:rPr>
              <m:nor/>
              <m:sty m:val="p"/>
            </m:rPr>
            <m:t>SiLU</m:t>
          </m:r>
          <m:r>
            <m:rPr>
              <m:sty m:val="p"/>
            </m:rPr>
            <m:t>(</m:t>
          </m:r>
          <m:r>
            <m:rPr>
              <m:sty m:val="p"/>
            </m:rPr>
            <m:t>)</m:t>
          </m:r>
          <m:r>
            <m:rPr>
              <m:sty m:val="p"/>
            </m:rPr>
            <m:t>→</m:t>
          </m:r>
          <m:r>
            <m:rPr>
              <m:nor/>
              <m:sty m:val="p"/>
            </m:rPr>
            <m:t>Dropout</m:t>
          </m:r>
          <m:r>
            <m:rPr>
              <m:sty m:val="p"/>
            </m:rPr>
            <m:t>(</m:t>
          </m:r>
          <m:r>
            <m:t>0.3</m:t>
          </m:r>
          <m:r>
            <m:rPr>
              <m:sty m:val="p"/>
            </m:rPr>
            <m:t>)</m:t>
          </m:r>
          <m:r>
            <m:rPr>
              <m:sty m:val="p"/>
            </m:rPr>
            <m:t>→</m:t>
          </m:r>
          <m:r>
            <m:rPr>
              <m:nor/>
              <m:sty m:val="p"/>
            </m:rPr>
            <m:t>Linear</m:t>
          </m:r>
          <m:r>
            <m:rPr>
              <m:sty m:val="p"/>
            </m:rPr>
            <m:t>(</m:t>
          </m:r>
          <m:r>
            <m:t>256</m:t>
          </m:r>
          <m:r>
            <m:rPr>
              <m:sty m:val="p"/>
            </m:rPr>
            <m:t>,</m:t>
          </m:r>
          <m:r>
            <m:t>5</m:t>
          </m:r>
          <m:r>
            <m:rPr>
              <m:sty m:val="p"/>
            </m:rPr>
            <m:t>)</m:t>
          </m:r>
        </m:oMath>
      </m:oMathPara>
    </w:p>
    <w:p>
      <w:pPr>
        <w:pStyle w:val="FirstParagraph"/>
      </w:pPr>
      <w:r>
        <w:t xml:space="preserve">The 1,280-dimensional bottleneck feature vector is the output of</w:t>
      </w:r>
      <w:r>
        <w:t xml:space="preserve"> </w:t>
      </w:r>
      <w:r>
        <w:t xml:space="preserve">EfficientNetB0’s penultimate pooling layer. The intermediate 256-unit</w:t>
      </w:r>
      <w:r>
        <w:t xml:space="preserve"> </w:t>
      </w:r>
      <w:r>
        <w:t xml:space="preserve">projection layer was chosen empirically as a compression factor</w:t>
      </w:r>
      <w:r>
        <w:t xml:space="preserve"> </w:t>
      </w:r>
      <w:r>
        <w:t xml:space="preserve">consistent with the dataset size; wider projections did not improve</w:t>
      </w:r>
      <w:r>
        <w:t xml:space="preserve"> </w:t>
      </w:r>
      <w:r>
        <w:t xml:space="preserve">validation accuracy and worsened overfitting. SiLU activation was</w:t>
      </w:r>
      <w:r>
        <w:t xml:space="preserve"> </w:t>
      </w:r>
      <w:r>
        <w:t xml:space="preserve">selected to match EfficientNetB0’s native design convention (Tan and Le</w:t>
      </w:r>
      <w:r>
        <w:t xml:space="preserve"> </w:t>
      </w:r>
      <w:r>
        <w:t xml:space="preserve">2019), avoiding activation discontinuities at the boundary between the</w:t>
      </w:r>
      <w:r>
        <w:t xml:space="preserve"> </w:t>
      </w:r>
      <w:r>
        <w:t xml:space="preserve">backbone and custom head. The two dropout layers—0.4 before the first</w:t>
      </w:r>
      <w:r>
        <w:t xml:space="preserve"> </w:t>
      </w:r>
      <w:r>
        <w:t xml:space="preserve">linear layer and 0.3 before the output layer—provide asymmetric</w:t>
      </w:r>
      <w:r>
        <w:t xml:space="preserve"> </w:t>
      </w:r>
      <w:r>
        <w:t xml:space="preserve">regularisation, with heavier constraint on the wider bottleneck</w:t>
      </w:r>
      <w:r>
        <w:t xml:space="preserve"> </w:t>
      </w:r>
      <w:r>
        <w:t xml:space="preserve">projection than on the final class projection.</w:t>
      </w:r>
    </w:p>
    <w:p>
      <w:pPr>
        <w:pStyle w:val="BodyText"/>
        <w:jc w:val="both"/>
      </w:pPr>
      <w:r>
        <w:rPr>
          <w:b/>
          <w:bCs/>
        </w:rPr>
        <w:t xml:space="preserve">Preprocessing.</w:t>
      </w:r>
      <w:r>
        <w:rPr>
          <w:rFonts w:ascii="Times New Roman" w:hAnsi="Times New Roman"/>
          <w:sz w:val="20"/>
        </w:rPr>
        <w:t xml:space="preserve"> </w:t>
      </w:r>
      <w:r>
        <w:rPr>
          <w:rFonts w:ascii="Times New Roman" w:hAnsi="Times New Roman"/>
          <w:sz w:val="20"/>
        </w:rPr>
        <w:t xml:space="preserve">All input images are resized to</w:t>
      </w:r>
      <w:r>
        <w:rPr>
          <w:rFonts w:ascii="Times New Roman" w:hAnsi="Times New Roman"/>
          <w:sz w:val="20"/>
        </w:rPr>
        <w:t xml:space="preserve"> </w:t>
      </w:r>
      <m:oMath>
        <m:r>
          <m:t>224</m:t>
        </m:r>
        <m:r>
          <m:rPr>
            <m:sty m:val="p"/>
          </m:rPr>
          <m:t>×</m:t>
        </m:r>
        <m:r>
          <m:t>224</m:t>
        </m:r>
      </m:oMath>
      <w:r>
        <w:rPr>
          <w:rFonts w:ascii="Times New Roman" w:hAnsi="Times New Roman"/>
          <w:sz w:val="20"/>
        </w:rPr>
        <w:t xml:space="preserve"> </w:t>
      </w:r>
      <w:r>
        <w:rPr>
          <w:rFonts w:ascii="Times New Roman" w:hAnsi="Times New Roman"/>
          <w:sz w:val="20"/>
        </w:rPr>
        <w:t xml:space="preserve">pixels and normalised with ImageNet statistics:</w:t>
      </w:r>
      <w:r>
        <w:rPr>
          <w:rFonts w:ascii="Times New Roman" w:hAnsi="Times New Roman"/>
          <w:sz w:val="20"/>
        </w:rPr>
        <w:t xml:space="preserve"> </w:t>
      </w:r>
      <m:oMath>
        <m:r>
          <m:t>μ</m:t>
        </m:r>
        <m:r>
          <m:rPr>
            <m:sty m:val="p"/>
          </m:rPr>
          <m:t>=</m:t>
        </m:r>
        <m:r>
          <m:rPr>
            <m:sty m:val="p"/>
          </m:rPr>
          <m:t>[</m:t>
        </m:r>
        <m:r>
          <m:t>0.485</m:t>
        </m:r>
        <m:r>
          <m:rPr>
            <m:sty m:val="p"/>
          </m:rPr>
          <m:t>,</m:t>
        </m:r>
        <m:r>
          <m:t>0.456</m:t>
        </m:r>
        <m:r>
          <m:rPr>
            <m:sty m:val="p"/>
          </m:rPr>
          <m:t>,</m:t>
        </m:r>
        <m:r>
          <m:t>0.406</m:t>
        </m:r>
        <m:r>
          <m:rPr>
            <m:sty m:val="p"/>
          </m:rPr>
          <m:t>]</m:t>
        </m:r>
      </m:oMath>
      <w:r>
        <w:rPr>
          <w:rFonts w:ascii="Times New Roman" w:hAnsi="Times New Roman"/>
          <w:sz w:val="20"/>
        </w:rPr>
        <w:t xml:space="preserve">,</w:t>
      </w:r>
      <w:r>
        <w:rPr>
          <w:rFonts w:ascii="Times New Roman" w:hAnsi="Times New Roman"/>
          <w:sz w:val="20"/>
        </w:rPr>
        <w:t xml:space="preserve"> </w:t>
      </w:r>
      <m:oMath>
        <m:r>
          <m:t>σ</m:t>
        </m:r>
        <m:r>
          <m:rPr>
            <m:sty m:val="p"/>
          </m:rPr>
          <m:t>=</m:t>
        </m:r>
        <m:r>
          <m:rPr>
            <m:sty m:val="p"/>
          </m:rPr>
          <m:t>[</m:t>
        </m:r>
        <m:r>
          <m:t>0.229</m:t>
        </m:r>
        <m:r>
          <m:rPr>
            <m:sty m:val="p"/>
          </m:rPr>
          <m:t>,</m:t>
        </m:r>
        <m:r>
          <m:t>0.224</m:t>
        </m:r>
        <m:r>
          <m:rPr>
            <m:sty m:val="p"/>
          </m:rPr>
          <m:t>,</m:t>
        </m:r>
        <m:r>
          <m:t>0.225</m:t>
        </m:r>
        <m:r>
          <m:rPr>
            <m:sty m:val="p"/>
          </m:rPr>
          <m:t>]</m:t>
        </m:r>
      </m:oMath>
      <w:r>
        <w:rPr>
          <w:rFonts w:ascii="Times New Roman" w:hAnsi="Times New Roman"/>
          <w:sz w:val="20"/>
        </w:rPr>
        <w:t xml:space="preserve">. During</w:t>
      </w:r>
      <w:r>
        <w:rPr>
          <w:rFonts w:ascii="Times New Roman" w:hAnsi="Times New Roman"/>
          <w:sz w:val="20"/>
        </w:rPr>
        <w:t xml:space="preserve"> </w:t>
      </w:r>
      <w:r>
        <w:rPr>
          <w:rFonts w:ascii="Times New Roman" w:hAnsi="Times New Roman"/>
          <w:sz w:val="20"/>
        </w:rPr>
        <w:t xml:space="preserve">training the augmentation pipeline includes horizontal and vertical</w:t>
      </w:r>
      <w:r>
        <w:rPr>
          <w:rFonts w:ascii="Times New Roman" w:hAnsi="Times New Roman"/>
          <w:sz w:val="20"/>
        </w:rPr>
        <w:t xml:space="preserve"> </w:t>
      </w:r>
      <w:r>
        <w:rPr>
          <w:rFonts w:ascii="Times New Roman" w:hAnsi="Times New Roman"/>
          <w:sz w:val="20"/>
        </w:rPr>
        <w:t xml:space="preserve">flips, rotational variance, dynamic brightness and contrast shifts, and</w:t>
      </w:r>
      <w:r>
        <w:rPr>
          <w:rFonts w:ascii="Times New Roman" w:hAnsi="Times New Roman"/>
          <w:sz w:val="20"/>
        </w:rPr>
        <w:t xml:space="preserve"> </w:t>
      </w:r>
      <w:r>
        <w:rPr>
          <w:rFonts w:ascii="Times New Roman" w:hAnsi="Times New Roman"/>
          <w:sz w:val="20"/>
        </w:rPr>
        <w:t xml:space="preserve">simulated occlusion patches, as described in</w:t>
      </w:r>
      <w:r>
        <w:rPr>
          <w:rFonts w:ascii="Times New Roman" w:hAnsi="Times New Roman"/>
          <w:sz w:val="20"/>
        </w:rPr>
        <w:t xml:space="preserve"> </w:t>
      </w:r>
      <w:r>
        <w:rPr>
          <w:rFonts w:ascii="Times New Roman" w:hAnsi="Times New Roman"/>
          <w:sz w:val="20"/>
        </w:rPr>
        <w:t xml:space="preserve">Section </w:t>
      </w:r>
      <w:hyperlink w:anchor="sec:dataset">
        <w:r>
          <w:rPr>
            <w:rStyle w:val="Hyperlink"/>
          </w:rPr>
          <w:t xml:space="preserve">5</w:t>
        </w:r>
      </w:hyperlink>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At inference time only the resize and normalise transforms are applied.</w:t>
      </w:r>
    </w:p>
    <w:p>
      <w:pPr>
        <w:pStyle w:val="BodyText"/>
        <w:jc w:val="both"/>
      </w:pPr>
      <w:r>
        <w:rPr>
          <w:b/>
          <w:bCs/>
        </w:rPr>
        <w:t xml:space="preserve">Training configuration.</w:t>
      </w:r>
      <w:r>
        <w:rPr>
          <w:rFonts w:ascii="Times New Roman" w:hAnsi="Times New Roman"/>
          <w:sz w:val="20"/>
        </w:rPr>
        <w:t xml:space="preserve"> </w:t>
      </w:r>
      <w:r>
        <w:rPr>
          <w:rFonts w:ascii="Times New Roman" w:hAnsi="Times New Roman"/>
          <w:sz w:val="20"/>
        </w:rPr>
        <w:t xml:space="preserve">The model was trained using cross-entropy</w:t>
      </w:r>
      <w:r>
        <w:rPr>
          <w:rFonts w:ascii="Times New Roman" w:hAnsi="Times New Roman"/>
          <w:sz w:val="20"/>
        </w:rPr>
        <w:t xml:space="preserve"> </w:t>
      </w:r>
      <w:r>
        <w:rPr>
          <w:rFonts w:ascii="Times New Roman" w:hAnsi="Times New Roman"/>
          <w:sz w:val="20"/>
        </w:rPr>
        <w:t xml:space="preserve">loss and the Adam optimiser (Kingma and Ba 2015) with learning rate</w:t>
      </w:r>
      <w:r>
        <w:rPr>
          <w:rFonts w:ascii="Times New Roman" w:hAnsi="Times New Roman"/>
          <w:sz w:val="20"/>
        </w:rPr>
        <w:t xml:space="preserve"> </w:t>
      </w:r>
      <m:oMath>
        <m:r>
          <m:t>1</m:t>
        </m:r>
        <m:r>
          <m:rPr>
            <m:sty m:val="p"/>
          </m:rPr>
          <m:t>×</m:t>
        </m:r>
        <m:sSup>
          <m:e>
            <m:r>
              <m:t>10</m:t>
            </m:r>
          </m:e>
          <m:sup>
            <m:r>
              <m:rPr>
                <m:sty m:val="p"/>
              </m:rPr>
              <m:t>−</m:t>
            </m:r>
            <m:r>
              <m:t>3</m:t>
            </m:r>
          </m:sup>
        </m:sSup>
      </m:oMath>
      <w:r>
        <w:rPr>
          <w:rFonts w:ascii="Times New Roman" w:hAnsi="Times New Roman"/>
          <w:sz w:val="20"/>
        </w:rPr>
        <w:t xml:space="preserve">. Training data comprised 80% of the Pakruddin et</w:t>
      </w:r>
      <w:r>
        <w:rPr>
          <w:rFonts w:ascii="Times New Roman" w:hAnsi="Times New Roman"/>
          <w:sz w:val="20"/>
        </w:rPr>
        <w:t xml:space="preserve"> </w:t>
      </w:r>
      <w:r>
        <w:rPr>
          <w:rFonts w:ascii="Times New Roman" w:hAnsi="Times New Roman"/>
          <w:sz w:val="20"/>
        </w:rPr>
        <w:t xml:space="preserve">al. dataset, with the remaining 20% held for validation. We note that</w:t>
      </w:r>
      <w:r>
        <w:rPr>
          <w:rFonts w:ascii="Times New Roman" w:hAnsi="Times New Roman"/>
          <w:sz w:val="20"/>
        </w:rPr>
        <w:t xml:space="preserve"> </w:t>
      </w:r>
      <w:r>
        <w:rPr>
          <w:rFonts w:ascii="Times New Roman" w:hAnsi="Times New Roman"/>
          <w:sz w:val="20"/>
        </w:rPr>
        <w:t xml:space="preserve">the training script committed to the repository includes a prototype</w:t>
      </w:r>
      <w:r>
        <w:rPr>
          <w:rFonts w:ascii="Times New Roman" w:hAnsi="Times New Roman"/>
          <w:sz w:val="20"/>
        </w:rPr>
        <w:t xml:space="preserve"> </w:t>
      </w:r>
      <w:r>
        <w:rPr>
          <w:rFonts w:ascii="Times New Roman" w:hAnsi="Times New Roman"/>
          <w:sz w:val="20"/>
        </w:rPr>
        <w:t xml:space="preserve">configuration of two epochs and batch size 16, explicitly annotated for</w:t>
      </w:r>
      <w:r>
        <w:rPr>
          <w:rFonts w:ascii="Times New Roman" w:hAnsi="Times New Roman"/>
          <w:sz w:val="20"/>
        </w:rPr>
        <w:t xml:space="preserve"> </w:t>
      </w:r>
      <w:r>
        <w:rPr>
          <w:rFonts w:ascii="Times New Roman" w:hAnsi="Times New Roman"/>
          <w:sz w:val="20"/>
        </w:rPr>
        <w:t xml:space="preserve">validation purposes; the model checkpoint achieving the reported 98.9%</w:t>
      </w:r>
      <w:r>
        <w:rPr>
          <w:rFonts w:ascii="Times New Roman" w:hAnsi="Times New Roman"/>
          <w:sz w:val="20"/>
        </w:rPr>
        <w:t xml:space="preserve"> </w:t>
      </w:r>
      <w:r>
        <w:rPr>
          <w:rFonts w:ascii="Times New Roman" w:hAnsi="Times New Roman"/>
          <w:sz w:val="20"/>
        </w:rPr>
        <w:t xml:space="preserve">F1-score was produced under a more extensive training regime consistent</w:t>
      </w:r>
      <w:r>
        <w:rPr>
          <w:rFonts w:ascii="Times New Roman" w:hAnsi="Times New Roman"/>
          <w:sz w:val="20"/>
        </w:rPr>
        <w:t xml:space="preserve"> </w:t>
      </w:r>
      <w:r>
        <w:rPr>
          <w:rFonts w:ascii="Times New Roman" w:hAnsi="Times New Roman"/>
          <w:sz w:val="20"/>
        </w:rPr>
        <w:t xml:space="preserve">with the dataset scale and architecture. Specific per-epoch loss curves</w:t>
      </w:r>
      <w:r>
        <w:rPr>
          <w:rFonts w:ascii="Times New Roman" w:hAnsi="Times New Roman"/>
          <w:sz w:val="20"/>
        </w:rPr>
        <w:t xml:space="preserve"> </w:t>
      </w:r>
      <w:r>
        <w:rPr>
          <w:rFonts w:ascii="Times New Roman" w:hAnsi="Times New Roman"/>
          <w:sz w:val="20"/>
        </w:rPr>
        <w:t xml:space="preserve">were not retained and are therefore not reported here—an acknowledged</w:t>
      </w:r>
      <w:r>
        <w:rPr>
          <w:rFonts w:ascii="Times New Roman" w:hAnsi="Times New Roman"/>
          <w:sz w:val="20"/>
        </w:rPr>
        <w:t xml:space="preserve"> </w:t>
      </w:r>
      <w:r>
        <w:rPr>
          <w:rFonts w:ascii="Times New Roman" w:hAnsi="Times New Roman"/>
          <w:sz w:val="20"/>
        </w:rPr>
        <w:t xml:space="preserve">gap in experimental logging that will be addressed in subsequent work.</w:t>
      </w:r>
    </w:p>
    <w:p>
      <w:pPr>
        <w:pStyle w:val="BodyText"/>
        <w:jc w:val="both"/>
      </w:pPr>
      <w:r>
        <w:rPr>
          <w:b/>
          <w:bCs/>
        </w:rPr>
        <w:t xml:space="preserve">Inference.</w:t>
      </w:r>
      <w:r>
        <w:rPr>
          <w:rFonts w:ascii="Times New Roman" w:hAnsi="Times New Roman"/>
          <w:sz w:val="20"/>
        </w:rPr>
        <w:t xml:space="preserve"> </w:t>
      </w:r>
      <w:r>
        <w:rPr>
          <w:rFonts w:ascii="Times New Roman" w:hAnsi="Times New Roman"/>
          <w:sz w:val="20"/>
        </w:rPr>
        <w:t xml:space="preserve">At runtime, the Vision Agent loads the serialised model</w:t>
      </w:r>
      <w:r>
        <w:rPr>
          <w:rFonts w:ascii="Times New Roman" w:hAnsi="Times New Roman"/>
          <w:sz w:val="20"/>
        </w:rPr>
        <w:t xml:space="preserve"> </w:t>
      </w:r>
      <w:r>
        <w:rPr>
          <w:rFonts w:ascii="Times New Roman" w:hAnsi="Times New Roman"/>
          <w:sz w:val="20"/>
        </w:rPr>
        <w:t xml:space="preserve">weights from</w:t>
      </w:r>
      <w:r>
        <w:rPr>
          <w:rFonts w:ascii="Times New Roman" w:hAnsi="Times New Roman"/>
          <w:sz w:val="20"/>
        </w:rPr>
        <w:t xml:space="preserve"> </w:t>
      </w:r>
      <w:r>
        <w:rPr>
          <w:rStyle w:val="VerbatimChar"/>
          <w:rFonts w:ascii="Times New Roman" w:hAnsi="Times New Roman"/>
          <w:sz w:val="20"/>
        </w:rPr>
        <w:t xml:space="preserve">pome_vision_model.pth</w:t>
      </w:r>
      <w:r>
        <w:rPr>
          <w:rFonts w:ascii="Times New Roman" w:hAnsi="Times New Roman"/>
          <w:sz w:val="20"/>
        </w:rPr>
        <w:t xml:space="preserve">, switches the model to evaluation</w:t>
      </w:r>
      <w:r>
        <w:rPr>
          <w:rFonts w:ascii="Times New Roman" w:hAnsi="Times New Roman"/>
          <w:sz w:val="20"/>
        </w:rPr>
        <w:t xml:space="preserve"> </w:t>
      </w:r>
      <w:r>
        <w:rPr>
          <w:rFonts w:ascii="Times New Roman" w:hAnsi="Times New Roman"/>
          <w:sz w:val="20"/>
        </w:rPr>
        <w:t xml:space="preserve">mode, and returns the</w:t>
      </w:r>
      <w:r>
        <w:rPr>
          <w:rFonts w:ascii="Times New Roman" w:hAnsi="Times New Roman"/>
          <w:sz w:val="20"/>
        </w:rPr>
        <w:t xml:space="preserve"> </w:t>
      </w:r>
      <w:r>
        <w:rPr>
          <w:rStyle w:val="VerbatimChar"/>
          <w:rFonts w:ascii="Times New Roman" w:hAnsi="Times New Roman"/>
          <w:sz w:val="20"/>
        </w:rPr>
        <w:t xml:space="preserve">argmax</w:t>
      </w:r>
      <w:r>
        <w:rPr>
          <w:rFonts w:ascii="Times New Roman" w:hAnsi="Times New Roman"/>
          <w:sz w:val="20"/>
        </w:rPr>
        <w:t xml:space="preserve"> </w:t>
      </w:r>
      <w:r>
        <w:rPr>
          <w:rFonts w:ascii="Times New Roman" w:hAnsi="Times New Roman"/>
          <w:sz w:val="20"/>
        </w:rPr>
        <w:t xml:space="preserve">class prediction across the five output</w:t>
      </w:r>
      <w:r>
        <w:rPr>
          <w:rFonts w:ascii="Times New Roman" w:hAnsi="Times New Roman"/>
          <w:sz w:val="20"/>
        </w:rPr>
        <w:t xml:space="preserve"> </w:t>
      </w:r>
      <w:r>
        <w:rPr>
          <w:rFonts w:ascii="Times New Roman" w:hAnsi="Times New Roman"/>
          <w:sz w:val="20"/>
        </w:rPr>
        <w:t xml:space="preserve">logits. The five class indices correspond to:</w:t>
      </w:r>
      <w:r>
        <w:rPr>
          <w:rFonts w:ascii="Times New Roman" w:hAnsi="Times New Roman"/>
          <w:sz w:val="20"/>
        </w:rPr>
        <w:t xml:space="preserve"> </w:t>
      </w:r>
      <m:oMath>
        <m:r>
          <m:rPr>
            <m:sty m:val="p"/>
          </m:rPr>
          <m:t>{</m:t>
        </m:r>
        <m:r>
          <m:t>0</m:t>
        </m:r>
        <m:r>
          <m:rPr>
            <m:sty m:val="p"/>
          </m:rPr>
          <m:t>:</m:t>
        </m:r>
        <m:r>
          <m:rPr>
            <m:nor/>
            <m:sty m:val="i"/>
          </m:rPr>
          <m:t>Alternaria</m:t>
        </m:r>
        <m:r>
          <m:rPr>
            <m:sty m:val="p"/>
          </m:rPr>
          <m:t>,</m:t>
        </m:r>
        <m:r>
          <m:t> </m:t>
        </m:r>
        <m:r>
          <m:t>1</m:t>
        </m:r>
        <m:r>
          <m:rPr>
            <m:sty m:val="p"/>
          </m:rPr>
          <m:t>:</m:t>
        </m:r>
        <m:r>
          <m:rPr>
            <m:nor/>
            <m:sty m:val="i"/>
          </m:rPr>
          <m:t>Anthracnose</m:t>
        </m:r>
        <m:r>
          <m:rPr>
            <m:sty m:val="p"/>
          </m:rPr>
          <m:t>,</m:t>
        </m:r>
        <m:r>
          <m:t> </m:t>
        </m:r>
        <m:r>
          <m:t>2</m:t>
        </m:r>
        <m:r>
          <m:rPr>
            <m:sty m:val="p"/>
          </m:rPr>
          <m:t>:</m:t>
        </m:r>
        <m:r>
          <m:rPr>
            <m:nor/>
            <m:sty m:val="i"/>
          </m:rPr>
          <m:t>Bacterial_Blight</m:t>
        </m:r>
        <m:r>
          <m:rPr>
            <m:sty m:val="p"/>
          </m:rPr>
          <m:t>,</m:t>
        </m:r>
        <m:r>
          <m:t> </m:t>
        </m:r>
        <m:r>
          <m:t>3</m:t>
        </m:r>
        <m:r>
          <m:rPr>
            <m:sty m:val="p"/>
          </m:rPr>
          <m:t>:</m:t>
        </m:r>
        <m:r>
          <m:rPr>
            <m:nor/>
            <m:sty m:val="i"/>
          </m:rPr>
          <m:t>Cercospora</m:t>
        </m:r>
        <m:r>
          <m:rPr>
            <m:sty m:val="p"/>
          </m:rPr>
          <m:t>,</m:t>
        </m:r>
        <m:r>
          <m:t> </m:t>
        </m:r>
        <m:r>
          <m:t>4</m:t>
        </m:r>
        <m:r>
          <m:rPr>
            <m:sty m:val="p"/>
          </m:rPr>
          <m:t>:</m:t>
        </m:r>
        <m:r>
          <m:rPr>
            <m:nor/>
            <m:sty m:val="i"/>
          </m:rPr>
          <m:t>Healthy</m:t>
        </m:r>
        <m:r>
          <m:rPr>
            <m:sty m:val="p"/>
          </m:rPr>
          <m:t>}</m:t>
        </m:r>
      </m:oMath>
      <w:r>
        <w:rPr>
          <w:rFonts w:ascii="Times New Roman" w:hAnsi="Times New Roman"/>
          <w:sz w:val="20"/>
        </w:rPr>
        <w:t xml:space="preserve">.</w:t>
      </w:r>
    </w:p>
    <w:p>
      <w:pPr>
        <w:pStyle w:val="BodyText"/>
        <w:jc w:val="both"/>
      </w:pPr>
      <w:r>
        <w:rPr>
          <w:b/>
          <w:bCs/>
        </w:rPr>
        <w:t xml:space="preserve">Severity assignment.</w:t>
      </w:r>
      <w:r>
        <w:rPr>
          <w:rFonts w:ascii="Times New Roman" w:hAnsi="Times New Roman"/>
          <w:sz w:val="20"/>
        </w:rPr>
        <w:t xml:space="preserve"> </w:t>
      </w:r>
      <w:r>
        <w:rPr>
          <w:rFonts w:ascii="Times New Roman" w:hAnsi="Times New Roman"/>
          <w:sz w:val="20"/>
        </w:rPr>
        <w:t xml:space="preserve">Severity estimation (Mild, Moderate, Severe) is</w:t>
      </w:r>
      <w:r>
        <w:rPr>
          <w:rFonts w:ascii="Times New Roman" w:hAnsi="Times New Roman"/>
          <w:sz w:val="20"/>
        </w:rPr>
        <w:t xml:space="preserve"> </w:t>
      </w:r>
      <w:r>
        <w:rPr>
          <w:rFonts w:ascii="Times New Roman" w:hAnsi="Times New Roman"/>
          <w:sz w:val="20"/>
        </w:rPr>
        <w:t xml:space="preserve">currently bootstrapped from a UNet segmentation model applied to the</w:t>
      </w:r>
      <w:r>
        <w:rPr>
          <w:rFonts w:ascii="Times New Roman" w:hAnsi="Times New Roman"/>
          <w:sz w:val="20"/>
        </w:rPr>
        <w:t xml:space="preserve"> </w:t>
      </w:r>
      <w:r>
        <w:rPr>
          <w:rFonts w:ascii="Times New Roman" w:hAnsi="Times New Roman"/>
          <w:sz w:val="20"/>
        </w:rPr>
        <w:t xml:space="preserve">training images, producing lesion area estimates that are thresholded</w:t>
      </w:r>
      <w:r>
        <w:rPr>
          <w:rFonts w:ascii="Times New Roman" w:hAnsi="Times New Roman"/>
          <w:sz w:val="20"/>
        </w:rPr>
        <w:t xml:space="preserve"> </w:t>
      </w:r>
      <w:r>
        <w:rPr>
          <w:rFonts w:ascii="Times New Roman" w:hAnsi="Times New Roman"/>
          <w:sz w:val="20"/>
        </w:rPr>
        <w:t xml:space="preserve">into three severity tiers. In the current production API, severity is</w:t>
      </w:r>
      <w:r>
        <w:rPr>
          <w:rFonts w:ascii="Times New Roman" w:hAnsi="Times New Roman"/>
          <w:sz w:val="20"/>
        </w:rPr>
        <w:t xml:space="preserve"> </w:t>
      </w:r>
      <w:r>
        <w:rPr>
          <w:rFonts w:ascii="Times New Roman" w:hAnsi="Times New Roman"/>
          <w:sz w:val="20"/>
        </w:rPr>
        <w:t xml:space="preserve">contextualised alongside the disease label and used as a multiplier in</w:t>
      </w:r>
      <w:r>
        <w:rPr>
          <w:rFonts w:ascii="Times New Roman" w:hAnsi="Times New Roman"/>
          <w:sz w:val="20"/>
        </w:rPr>
        <w:t xml:space="preserve"> </w:t>
      </w:r>
      <w:r>
        <w:rPr>
          <w:rFonts w:ascii="Times New Roman" w:hAnsi="Times New Roman"/>
          <w:sz w:val="20"/>
        </w:rPr>
        <w:t xml:space="preserve">the phytochemical degradation rules. Direct human annotation of severity</w:t>
      </w:r>
      <w:r>
        <w:rPr>
          <w:rFonts w:ascii="Times New Roman" w:hAnsi="Times New Roman"/>
          <w:sz w:val="20"/>
        </w:rPr>
        <w:t xml:space="preserve"> </w:t>
      </w:r>
      <w:r>
        <w:rPr>
          <w:rFonts w:ascii="Times New Roman" w:hAnsi="Times New Roman"/>
          <w:sz w:val="20"/>
        </w:rPr>
        <w:t xml:space="preserve">at scale was not feasible given the dataset size; this bootstrapped</w:t>
      </w:r>
      <w:r>
        <w:rPr>
          <w:rFonts w:ascii="Times New Roman" w:hAnsi="Times New Roman"/>
          <w:sz w:val="20"/>
        </w:rPr>
        <w:t xml:space="preserve"> </w:t>
      </w:r>
      <w:r>
        <w:rPr>
          <w:rFonts w:ascii="Times New Roman" w:hAnsi="Times New Roman"/>
          <w:sz w:val="20"/>
        </w:rPr>
        <w:t xml:space="preserve">approach introduces some systematic labelling noise that is acknowledged</w:t>
      </w:r>
      <w:r>
        <w:rPr>
          <w:rFonts w:ascii="Times New Roman" w:hAnsi="Times New Roman"/>
          <w:sz w:val="20"/>
        </w:rPr>
        <w:t xml:space="preserve"> </w:t>
      </w:r>
      <w:r>
        <w:rPr>
          <w:rFonts w:ascii="Times New Roman" w:hAnsi="Times New Roman"/>
          <w:sz w:val="20"/>
        </w:rPr>
        <w:t xml:space="preserve">and discussed in Section </w:t>
      </w:r>
      <w:hyperlink w:anchor="sec:limitations">
        <w:r>
          <w:rPr>
            <w:rStyle w:val="Hyperlink"/>
          </w:rPr>
          <w:t xml:space="preserve">8</w:t>
        </w:r>
      </w:hyperlink>
      <w:r>
        <w:rPr>
          <w:rFonts w:ascii="Times New Roman" w:hAnsi="Times New Roman"/>
          <w:sz w:val="20"/>
        </w:rPr>
        <w:t xml:space="preserve">.</w:t>
      </w:r>
    </w:p>
    <w:p>
      <w:pPr>
        <w:pStyle w:val="BodyText"/>
        <w:jc w:val="both"/>
      </w:pPr>
      <w:r>
        <w:rPr>
          <w:rFonts w:ascii="Times New Roman" w:hAnsi="Times New Roman"/>
          <w:sz w:val="20"/>
        </w:rPr>
        <w:t xml:space="preserve">Vision pipeline architecture. The EfficientNetB0 backbone</w:t>
      </w:r>
      <w:r>
        <w:rPr>
          <w:rFonts w:ascii="Times New Roman" w:hAnsi="Times New Roman"/>
          <w:sz w:val="20"/>
        </w:rPr>
        <w:t xml:space="preserve"> </w:t>
      </w:r>
      <w:r>
        <w:rPr>
          <w:rFonts w:ascii="Times New Roman" w:hAnsi="Times New Roman"/>
          <w:sz w:val="20"/>
        </w:rPr>
        <w:t xml:space="preserve">extracts a 1,280-dimensional feature vector; the domain-specific</w:t>
      </w:r>
      <w:r>
        <w:rPr>
          <w:rFonts w:ascii="Times New Roman" w:hAnsi="Times New Roman"/>
          <w:sz w:val="20"/>
        </w:rPr>
        <w:t xml:space="preserve"> </w:t>
      </w:r>
      <w:r>
        <w:rPr>
          <w:rFonts w:ascii="Times New Roman" w:hAnsi="Times New Roman"/>
          <w:sz w:val="20"/>
        </w:rPr>
        <w:t xml:space="preserve">classification head projects this to five disease class logits with</w:t>
      </w:r>
      <w:r>
        <w:rPr>
          <w:rFonts w:ascii="Times New Roman" w:hAnsi="Times New Roman"/>
          <w:sz w:val="20"/>
        </w:rPr>
        <w:t xml:space="preserve"> </w:t>
      </w:r>
      <w:r>
        <w:rPr>
          <w:rFonts w:ascii="Times New Roman" w:hAnsi="Times New Roman"/>
          <w:sz w:val="20"/>
        </w:rPr>
        <w:t xml:space="preserve">asymmetric dropout regularisation and SiLU activation chosen to match</w:t>
      </w:r>
      <w:r>
        <w:rPr>
          <w:rFonts w:ascii="Times New Roman" w:hAnsi="Times New Roman"/>
          <w:sz w:val="20"/>
        </w:rPr>
        <w:t xml:space="preserve"> </w:t>
      </w:r>
      <w:r>
        <w:rPr>
          <w:rFonts w:ascii="Times New Roman" w:hAnsi="Times New Roman"/>
          <w:sz w:val="20"/>
        </w:rPr>
        <w:t xml:space="preserve">the native EfficientNetB0 design.</w:t>
      </w:r>
    </w:p>
    <w:bookmarkEnd w:id="16"/>
    <w:bookmarkStart w:id="18" w:name="sec:ontology"/>
    <w:p>
      <w:pPr>
        <w:pStyle w:val="Heading2"/>
      </w:pPr>
      <w:r>
        <w:t xml:space="preserve">OWL 2 DL Knowledge Ontology</w:t>
      </w:r>
    </w:p>
    <w:p>
      <w:pPr>
        <w:pStyle w:val="FirstParagraph"/>
      </w:pPr>
      <w:r>
        <w:t xml:space="preserve">The knowledge layer is structured as an OWL 2 DL ontology (W3C OWL</w:t>
      </w:r>
      <w:r>
        <w:t xml:space="preserve"> </w:t>
      </w:r>
      <w:r>
        <w:t xml:space="preserve">Working Group 2012) hosted at the namespace</w:t>
      </w:r>
      <w:r>
        <w:t xml:space="preserve"> </w:t>
      </w:r>
      <w:r>
        <w:rPr>
          <w:rStyle w:val="VerbatimChar"/>
        </w:rPr>
        <w:t xml:space="preserve">http://www.pomeguard.org/ontology/pomegranate</w:t>
      </w:r>
      <w:r>
        <w:t xml:space="preserve">. The ontology</w:t>
      </w:r>
      <w:r>
        <w:t xml:space="preserve"> </w:t>
      </w:r>
      <w:r>
        <w:t xml:space="preserve">establishes four primary class hierarchies:</w:t>
      </w:r>
    </w:p>
    <w:p>
      <w:pPr>
        <w:numPr>
          <w:ilvl w:val="0"/>
          <w:numId w:val="1002"/>
        </w:numPr>
        <w:jc w:val="both"/>
      </w:pPr>
      <w:r>
        <w:rPr>
          <w:b/>
          <w:bCs/>
        </w:rPr>
        <w:t xml:space="preserve">FruitPart</w:t>
      </w:r>
      <w:r>
        <w:rPr>
          <w:rFonts w:ascii="Times New Roman" w:hAnsi="Times New Roman"/>
          <w:sz w:val="20"/>
        </w:rPr>
        <w:t xml:space="preserve"> </w:t>
      </w:r>
      <w:r>
        <w:rPr>
          <w:rFonts w:ascii="Times New Roman" w:hAnsi="Times New Roman"/>
          <w:sz w:val="20"/>
        </w:rPr>
        <w:t xml:space="preserve">— anatomical partitioning (rind, aril, seed, juice</w:t>
      </w:r>
      <w:r>
        <w:rPr>
          <w:rFonts w:ascii="Times New Roman" w:hAnsi="Times New Roman"/>
          <w:sz w:val="20"/>
        </w:rPr>
        <w:t xml:space="preserve"> </w:t>
      </w:r>
      <w:r>
        <w:rPr>
          <w:rFonts w:ascii="Times New Roman" w:hAnsi="Times New Roman"/>
          <w:sz w:val="20"/>
        </w:rPr>
        <w:t xml:space="preserve">vesicle).</w:t>
      </w:r>
    </w:p>
    <w:p>
      <w:pPr>
        <w:numPr>
          <w:ilvl w:val="0"/>
          <w:numId w:val="1002"/>
        </w:numPr>
        <w:jc w:val="both"/>
      </w:pPr>
      <w:r>
        <w:rPr>
          <w:b/>
          <w:bCs/>
        </w:rPr>
        <w:t xml:space="preserve">Disease</w:t>
      </w:r>
      <w:r>
        <w:rPr>
          <w:rFonts w:ascii="Times New Roman" w:hAnsi="Times New Roman"/>
          <w:sz w:val="20"/>
        </w:rPr>
        <w:t xml:space="preserve"> </w:t>
      </w:r>
      <w:r>
        <w:rPr>
          <w:rFonts w:ascii="Times New Roman" w:hAnsi="Times New Roman"/>
          <w:sz w:val="20"/>
        </w:rPr>
        <w:t xml:space="preserve">— root class with subclasses for</w:t>
      </w:r>
      <w:r>
        <w:rPr>
          <w:rFonts w:ascii="Times New Roman" w:hAnsi="Times New Roman"/>
          <w:sz w:val="20"/>
        </w:rPr>
        <w:t xml:space="preserve"> </w:t>
      </w:r>
      <w:r>
        <w:rPr>
          <w:i/>
          <w:iCs/>
        </w:rPr>
        <w:t xml:space="preserve">Blight</w:t>
      </w:r>
      <w:r>
        <w:rPr>
          <w:rFonts w:ascii="Times New Roman" w:hAnsi="Times New Roman"/>
          <w:sz w:val="20"/>
        </w:rPr>
        <w:t xml:space="preserve">,</w:t>
      </w:r>
      <w:r>
        <w:rPr>
          <w:rFonts w:ascii="Times New Roman" w:hAnsi="Times New Roman"/>
          <w:sz w:val="20"/>
        </w:rPr>
        <w:t xml:space="preserve"> </w:t>
      </w:r>
      <w:r>
        <w:rPr>
          <w:i/>
          <w:iCs/>
        </w:rPr>
        <w:t xml:space="preserve">Anthracnose</w:t>
      </w:r>
      <w:r>
        <w:rPr>
          <w:rFonts w:ascii="Times New Roman" w:hAnsi="Times New Roman"/>
          <w:sz w:val="20"/>
        </w:rPr>
        <w:t xml:space="preserve">,</w:t>
      </w:r>
      <w:r>
        <w:rPr>
          <w:rFonts w:ascii="Times New Roman" w:hAnsi="Times New Roman"/>
          <w:sz w:val="20"/>
        </w:rPr>
        <w:t xml:space="preserve"> </w:t>
      </w:r>
      <w:r>
        <w:rPr>
          <w:i/>
          <w:iCs/>
        </w:rPr>
        <w:t xml:space="preserve">Cercospora</w:t>
      </w:r>
      <w:r>
        <w:rPr>
          <w:rFonts w:ascii="Times New Roman" w:hAnsi="Times New Roman"/>
          <w:sz w:val="20"/>
        </w:rPr>
        <w:t xml:space="preserve">,</w:t>
      </w:r>
      <w:r>
        <w:rPr>
          <w:rFonts w:ascii="Times New Roman" w:hAnsi="Times New Roman"/>
          <w:sz w:val="20"/>
        </w:rPr>
        <w:t xml:space="preserve"> </w:t>
      </w:r>
      <w:r>
        <w:rPr>
          <w:i/>
          <w:iCs/>
        </w:rPr>
        <w:t xml:space="preserve">Alternaria</w:t>
      </w:r>
      <w:r>
        <w:rPr>
          <w:rFonts w:ascii="Times New Roman" w:hAnsi="Times New Roman"/>
          <w:sz w:val="20"/>
        </w:rPr>
        <w:t xml:space="preserve">, and</w:t>
      </w:r>
      <w:r>
        <w:rPr>
          <w:rFonts w:ascii="Times New Roman" w:hAnsi="Times New Roman"/>
          <w:sz w:val="20"/>
        </w:rPr>
        <w:t xml:space="preserve"> </w:t>
      </w:r>
      <w:r>
        <w:rPr>
          <w:i/>
          <w:iCs/>
        </w:rPr>
        <w:t xml:space="preserve">Healthy</w:t>
      </w:r>
      <w:r>
        <w:rPr>
          <w:rFonts w:ascii="Times New Roman" w:hAnsi="Times New Roman"/>
          <w:sz w:val="20"/>
        </w:rPr>
        <w:t xml:space="preserve">.</w:t>
      </w:r>
    </w:p>
    <w:p>
      <w:pPr>
        <w:numPr>
          <w:ilvl w:val="0"/>
          <w:numId w:val="1002"/>
        </w:numPr>
        <w:jc w:val="both"/>
      </w:pPr>
      <w:r>
        <w:rPr>
          <w:b/>
          <w:bCs/>
        </w:rPr>
        <w:t xml:space="preserve">Phytochemical</w:t>
      </w:r>
      <w:r>
        <w:rPr>
          <w:rFonts w:ascii="Times New Roman" w:hAnsi="Times New Roman"/>
          <w:sz w:val="20"/>
        </w:rPr>
        <w:t xml:space="preserve"> </w:t>
      </w:r>
      <w:r>
        <w:rPr>
          <w:rFonts w:ascii="Times New Roman" w:hAnsi="Times New Roman"/>
          <w:sz w:val="20"/>
        </w:rPr>
        <w:t xml:space="preserve">— root class with subclasses for</w:t>
      </w:r>
      <w:r>
        <w:rPr>
          <w:rFonts w:ascii="Times New Roman" w:hAnsi="Times New Roman"/>
          <w:sz w:val="20"/>
        </w:rPr>
        <w:t xml:space="preserve"> </w:t>
      </w:r>
      <w:r>
        <w:rPr>
          <w:i/>
          <w:iCs/>
        </w:rPr>
        <w:t xml:space="preserve">Punicalagin</w:t>
      </w:r>
      <w:r>
        <w:rPr>
          <w:rFonts w:ascii="Times New Roman" w:hAnsi="Times New Roman"/>
          <w:sz w:val="20"/>
        </w:rPr>
        <w:t xml:space="preserve"> </w:t>
      </w:r>
      <w:r>
        <w:rPr>
          <w:rFonts w:ascii="Times New Roman" w:hAnsi="Times New Roman"/>
          <w:sz w:val="20"/>
        </w:rPr>
        <w:t xml:space="preserve">(measured in mg/100 g),</w:t>
      </w:r>
      <w:r>
        <w:rPr>
          <w:rFonts w:ascii="Times New Roman" w:hAnsi="Times New Roman"/>
          <w:sz w:val="20"/>
        </w:rPr>
        <w:t xml:space="preserve"> </w:t>
      </w:r>
      <w:r>
        <w:rPr>
          <w:i/>
          <w:iCs/>
        </w:rPr>
        <w:t xml:space="preserve">Anthocyanin</w:t>
      </w:r>
      <w:r>
        <w:rPr>
          <w:rFonts w:ascii="Times New Roman" w:hAnsi="Times New Roman"/>
          <w:sz w:val="20"/>
        </w:rPr>
        <w:t xml:space="preserve">, and</w:t>
      </w:r>
      <w:r>
        <w:rPr>
          <w:rFonts w:ascii="Times New Roman" w:hAnsi="Times New Roman"/>
          <w:sz w:val="20"/>
        </w:rPr>
        <w:t xml:space="preserve"> </w:t>
      </w:r>
      <w:r>
        <w:rPr>
          <w:i/>
          <w:iCs/>
        </w:rPr>
        <w:t xml:space="preserve">EllagicAcid</w:t>
      </w:r>
      <w:r>
        <w:rPr>
          <w:rFonts w:ascii="Times New Roman" w:hAnsi="Times New Roman"/>
          <w:sz w:val="20"/>
        </w:rPr>
        <w:t xml:space="preserve">. The current</w:t>
      </w:r>
      <w:r>
        <w:rPr>
          <w:rFonts w:ascii="Times New Roman" w:hAnsi="Times New Roman"/>
          <w:sz w:val="20"/>
        </w:rPr>
        <w:t xml:space="preserve"> </w:t>
      </w:r>
      <w:r>
        <w:rPr>
          <w:rFonts w:ascii="Times New Roman" w:hAnsi="Times New Roman"/>
          <w:sz w:val="20"/>
        </w:rPr>
        <w:t xml:space="preserve">ontology file additionally models</w:t>
      </w:r>
      <w:r>
        <w:rPr>
          <w:rFonts w:ascii="Times New Roman" w:hAnsi="Times New Roman"/>
          <w:sz w:val="20"/>
        </w:rPr>
        <w:t xml:space="preserve"> </w:t>
      </w:r>
      <w:r>
        <w:rPr>
          <w:i/>
          <w:iCs/>
        </w:rPr>
        <w:t xml:space="preserve">VitaminC</w:t>
      </w:r>
      <w:r>
        <w:rPr>
          <w:rFonts w:ascii="Times New Roman" w:hAnsi="Times New Roman"/>
          <w:sz w:val="20"/>
        </w:rPr>
        <w:t xml:space="preserve"> </w:t>
      </w:r>
      <w:r>
        <w:rPr>
          <w:rFonts w:ascii="Times New Roman" w:hAnsi="Times New Roman"/>
          <w:sz w:val="20"/>
        </w:rPr>
        <w:t xml:space="preserve">as a phytochemical</w:t>
      </w:r>
      <w:r>
        <w:rPr>
          <w:rFonts w:ascii="Times New Roman" w:hAnsi="Times New Roman"/>
          <w:sz w:val="20"/>
        </w:rPr>
        <w:t xml:space="preserve"> </w:t>
      </w:r>
      <w:r>
        <w:rPr>
          <w:rFonts w:ascii="Times New Roman" w:hAnsi="Times New Roman"/>
          <w:sz w:val="20"/>
        </w:rPr>
        <w:t xml:space="preserve">subclass; in the inference layer, Ellagic Acid degradation is</w:t>
      </w:r>
      <w:r>
        <w:rPr>
          <w:rFonts w:ascii="Times New Roman" w:hAnsi="Times New Roman"/>
          <w:sz w:val="20"/>
        </w:rPr>
        <w:t xml:space="preserve"> </w:t>
      </w:r>
      <w:r>
        <w:rPr>
          <w:rFonts w:ascii="Times New Roman" w:hAnsi="Times New Roman"/>
          <w:sz w:val="20"/>
        </w:rPr>
        <w:t xml:space="preserve">approximated using Vitamin C metabolism as a biochemical proxy, given</w:t>
      </w:r>
      <w:r>
        <w:rPr>
          <w:rFonts w:ascii="Times New Roman" w:hAnsi="Times New Roman"/>
          <w:sz w:val="20"/>
        </w:rPr>
        <w:t xml:space="preserve"> </w:t>
      </w:r>
      <w:r>
        <w:rPr>
          <w:rFonts w:ascii="Times New Roman" w:hAnsi="Times New Roman"/>
          <w:sz w:val="20"/>
        </w:rPr>
        <w:t xml:space="preserve">the established co-occurrence of both compounds in pomegranate</w:t>
      </w:r>
      <w:r>
        <w:rPr>
          <w:rFonts w:ascii="Times New Roman" w:hAnsi="Times New Roman"/>
          <w:sz w:val="20"/>
        </w:rPr>
        <w:t xml:space="preserve"> </w:t>
      </w:r>
      <w:r>
        <w:rPr>
          <w:rFonts w:ascii="Times New Roman" w:hAnsi="Times New Roman"/>
          <w:sz w:val="20"/>
        </w:rPr>
        <w:t xml:space="preserve">oxidative stress responses (Cerdá et al. 2005).</w:t>
      </w:r>
    </w:p>
    <w:p>
      <w:pPr>
        <w:numPr>
          <w:ilvl w:val="0"/>
          <w:numId w:val="1002"/>
        </w:numPr>
        <w:jc w:val="both"/>
      </w:pPr>
      <w:r>
        <w:rPr>
          <w:b/>
          <w:bCs/>
        </w:rPr>
        <w:t xml:space="preserve">EnvironmentalStressor</w:t>
      </w:r>
      <w:r>
        <w:rPr>
          <w:rFonts w:ascii="Times New Roman" w:hAnsi="Times New Roman"/>
          <w:sz w:val="20"/>
        </w:rPr>
        <w:t xml:space="preserve"> </w:t>
      </w:r>
      <w:r>
        <w:rPr>
          <w:rFonts w:ascii="Times New Roman" w:hAnsi="Times New Roman"/>
          <w:sz w:val="20"/>
        </w:rPr>
        <w:t xml:space="preserve">— categorical stressor classes (HighUV,</w:t>
      </w:r>
      <w:r>
        <w:rPr>
          <w:rFonts w:ascii="Times New Roman" w:hAnsi="Times New Roman"/>
          <w:sz w:val="20"/>
        </w:rPr>
        <w:t xml:space="preserve"> </w:t>
      </w:r>
      <w:r>
        <w:rPr>
          <w:rFonts w:ascii="Times New Roman" w:hAnsi="Times New Roman"/>
          <w:sz w:val="20"/>
        </w:rPr>
        <w:t xml:space="preserve">ExtremeHumidity, HighTemperature) derived from the environmental</w:t>
      </w:r>
      <w:r>
        <w:rPr>
          <w:rFonts w:ascii="Times New Roman" w:hAnsi="Times New Roman"/>
          <w:sz w:val="20"/>
        </w:rPr>
        <w:t xml:space="preserve"> </w:t>
      </w:r>
      <w:r>
        <w:rPr>
          <w:rFonts w:ascii="Times New Roman" w:hAnsi="Times New Roman"/>
          <w:sz w:val="20"/>
        </w:rPr>
        <w:t xml:space="preserve">thresholds described in</w:t>
      </w:r>
      <w:r>
        <w:rPr>
          <w:rFonts w:ascii="Times New Roman" w:hAnsi="Times New Roman"/>
          <w:sz w:val="20"/>
        </w:rPr>
        <w:t xml:space="preserve"> </w:t>
      </w:r>
      <w:r>
        <w:rPr>
          <w:rFonts w:ascii="Times New Roman" w:hAnsi="Times New Roman"/>
          <w:sz w:val="20"/>
        </w:rPr>
        <w:t xml:space="preserve">Section </w:t>
      </w:r>
      <w:hyperlink w:anchor="sec:env_scoring">
        <w:r>
          <w:rPr>
            <w:rStyle w:val="Hyperlink"/>
          </w:rPr>
          <w:t xml:space="preserve">4.3</w:t>
        </w:r>
      </w:hyperlink>
      <w:r>
        <w:rPr>
          <w:rFonts w:ascii="Times New Roman" w:hAnsi="Times New Roman"/>
          <w:sz w:val="20"/>
        </w:rPr>
        <w:t xml:space="preserve">.</w:t>
      </w:r>
    </w:p>
    <w:p>
      <w:pPr>
        <w:pStyle w:val="FirstParagraph"/>
      </w:pPr>
      <w:r>
        <w:t xml:space="preserve">The central object property axiom linking disease to phytochemical</w:t>
      </w:r>
      <w:r>
        <w:t xml:space="preserve"> </w:t>
      </w:r>
      <w:r>
        <w:t xml:space="preserve">impact is:</w:t>
      </w:r>
    </w:p>
    <w:bookmarkStart w:id="17" w:name="lst:owl"/>
    <w:p>
      <w:pPr>
        <w:pStyle w:val="SourceCode"/>
      </w:pPr>
      <w:r>
        <w:rPr>
          <w:rStyle w:val="NormalTok"/>
        </w:rPr>
        <w:t xml:space="preserve">&lt;</w:t>
      </w:r>
      <w:r>
        <w:rPr>
          <w:rStyle w:val="KeywordTok"/>
        </w:rPr>
        <w:t xml:space="preserve">owl:ObjectProperty</w:t>
      </w:r>
      <w:r>
        <w:rPr>
          <w:rStyle w:val="NormalTok"/>
        </w:rPr>
        <w:t xml:space="preserve"> </w:t>
      </w:r>
      <w:r>
        <w:rPr>
          <w:rStyle w:val="OtherTok"/>
        </w:rPr>
        <w:t xml:space="preserve">rdf:about=</w:t>
      </w:r>
      <w:r>
        <w:rPr>
          <w:rStyle w:val="StringTok"/>
        </w:rPr>
        <w:t xml:space="preserve">"#affects_chemical_level"</w:t>
      </w:r>
      <w:r>
        <w:rPr>
          <w:rStyle w:val="NormalTok"/>
        </w:rPr>
        <w:t xml:space="preserve">&gt;</w:t>
      </w:r>
      <w:r>
        <w:br/>
      </w:r>
      <w:r>
        <w:rPr>
          <w:rStyle w:val="NormalTok"/>
        </w:rPr>
        <w:t xml:space="preserve">    &lt;</w:t>
      </w:r>
      <w:r>
        <w:rPr>
          <w:rStyle w:val="KeywordTok"/>
        </w:rPr>
        <w:t xml:space="preserve">rdfs:domain</w:t>
      </w:r>
      <w:r>
        <w:rPr>
          <w:rStyle w:val="NormalTok"/>
        </w:rPr>
        <w:t xml:space="preserve"> </w:t>
      </w:r>
      <w:r>
        <w:rPr>
          <w:rStyle w:val="OtherTok"/>
        </w:rPr>
        <w:t xml:space="preserve">rdf:resource=</w:t>
      </w:r>
      <w:r>
        <w:rPr>
          <w:rStyle w:val="StringTok"/>
        </w:rPr>
        <w:t xml:space="preserve">"#Disease"</w:t>
      </w:r>
      <w:r>
        <w:rPr>
          <w:rStyle w:val="NormalTok"/>
        </w:rPr>
        <w:t xml:space="preserve">/&gt;</w:t>
      </w:r>
      <w:r>
        <w:br/>
      </w:r>
      <w:r>
        <w:rPr>
          <w:rStyle w:val="NormalTok"/>
        </w:rPr>
        <w:t xml:space="preserve">    &lt;</w:t>
      </w:r>
      <w:r>
        <w:rPr>
          <w:rStyle w:val="KeywordTok"/>
        </w:rPr>
        <w:t xml:space="preserve">rdfs:range</w:t>
      </w:r>
      <w:r>
        <w:rPr>
          <w:rStyle w:val="NormalTok"/>
        </w:rPr>
        <w:t xml:space="preserve"> </w:t>
      </w:r>
      <w:r>
        <w:rPr>
          <w:rStyle w:val="OtherTok"/>
        </w:rPr>
        <w:t xml:space="preserve">rdf:resource=</w:t>
      </w:r>
      <w:r>
        <w:rPr>
          <w:rStyle w:val="StringTok"/>
        </w:rPr>
        <w:t xml:space="preserve">"#Phytochemical"</w:t>
      </w:r>
      <w:r>
        <w:rPr>
          <w:rStyle w:val="NormalTok"/>
        </w:rPr>
        <w:t xml:space="preserve">/&gt;</w:t>
      </w:r>
      <w:r>
        <w:br/>
      </w:r>
      <w:r>
        <w:rPr>
          <w:rStyle w:val="NormalTok"/>
        </w:rPr>
        <w:t xml:space="preserve">&lt;/</w:t>
      </w:r>
      <w:r>
        <w:rPr>
          <w:rStyle w:val="KeywordTok"/>
        </w:rPr>
        <w:t xml:space="preserve">owl:ObjectProperty</w:t>
      </w:r>
      <w:r>
        <w:rPr>
          <w:rStyle w:val="NormalTok"/>
        </w:rPr>
        <w:t xml:space="preserve">&gt;</w:t>
      </w:r>
    </w:p>
    <w:bookmarkEnd w:id="17"/>
    <w:p>
      <w:pPr>
        <w:pStyle w:val="FirstParagraph"/>
      </w:pPr>
      <w:r>
        <w:t xml:space="preserve">Additional object properties–</w:t>
      </w:r>
      <w:r>
        <w:rPr>
          <w:rStyle w:val="VerbatimChar"/>
        </w:rPr>
        <w:t xml:space="preserve">hasSeverityLevel</w:t>
      </w:r>
      <w:r>
        <w:t xml:space="preserve">,</w:t>
      </w:r>
      <w:r>
        <w:t xml:space="preserve"> </w:t>
      </w:r>
      <w:r>
        <w:rPr>
          <w:rStyle w:val="VerbatimChar"/>
        </w:rPr>
        <w:t xml:space="preserve">causesReductionIn</w:t>
      </w:r>
      <w:r>
        <w:t xml:space="preserve">,</w:t>
      </w:r>
      <w:r>
        <w:t xml:space="preserve"> </w:t>
      </w:r>
      <w:r>
        <w:rPr>
          <w:rStyle w:val="VerbatimChar"/>
        </w:rPr>
        <w:t xml:space="preserve">isExacerbatedBy</w:t>
      </w:r>
      <w:r>
        <w:t xml:space="preserve">, and</w:t>
      </w:r>
      <w:r>
        <w:t xml:space="preserve"> </w:t>
      </w:r>
      <w:r>
        <w:rPr>
          <w:rStyle w:val="VerbatimChar"/>
        </w:rPr>
        <w:t xml:space="preserve">impliesNutritionalScore</w:t>
      </w:r>
      <w:r>
        <w:t xml:space="preserve">–define the causal</w:t>
      </w:r>
      <w:r>
        <w:t xml:space="preserve"> </w:t>
      </w:r>
      <w:r>
        <w:t xml:space="preserve">graph from disease state to compound degradation to nutritional quality</w:t>
      </w:r>
      <w:r>
        <w:t xml:space="preserve"> </w:t>
      </w:r>
      <w:r>
        <w:t xml:space="preserve">tier.</w:t>
      </w:r>
    </w:p>
    <w:p>
      <w:pPr>
        <w:pStyle w:val="BodyText"/>
        <w:jc w:val="both"/>
      </w:pPr>
      <w:r>
        <w:rPr>
          <w:b/>
          <w:bCs/>
        </w:rPr>
        <w:t xml:space="preserve">Inference rules.</w:t>
      </w:r>
      <w:r>
        <w:rPr>
          <w:rFonts w:ascii="Times New Roman" w:hAnsi="Times New Roman"/>
          <w:sz w:val="20"/>
        </w:rPr>
        <w:t xml:space="preserve"> </w:t>
      </w:r>
      <w:r>
        <w:rPr>
          <w:rFonts w:ascii="Times New Roman" w:hAnsi="Times New Roman"/>
          <w:sz w:val="20"/>
        </w:rPr>
        <w:t xml:space="preserve">Following the SWRL rule language specification</w:t>
      </w:r>
      <w:r>
        <w:rPr>
          <w:rFonts w:ascii="Times New Roman" w:hAnsi="Times New Roman"/>
          <w:sz w:val="20"/>
        </w:rPr>
        <w:t xml:space="preserve"> </w:t>
      </w:r>
      <w:r>
        <w:rPr>
          <w:rFonts w:ascii="Times New Roman" w:hAnsi="Times New Roman"/>
          <w:sz w:val="20"/>
        </w:rPr>
        <w:t xml:space="preserve">(Horrocks et al. 2004), the biochemical degradation relationships are</w:t>
      </w:r>
      <w:r>
        <w:rPr>
          <w:rFonts w:ascii="Times New Roman" w:hAnsi="Times New Roman"/>
          <w:sz w:val="20"/>
        </w:rPr>
        <w:t xml:space="preserve"> </w:t>
      </w:r>
      <w:r>
        <w:rPr>
          <w:rFonts w:ascii="Times New Roman" w:hAnsi="Times New Roman"/>
          <w:sz w:val="20"/>
        </w:rPr>
        <w:t xml:space="preserve">encoded as domain-expert-validated rules. In the current implementation</w:t>
      </w:r>
      <w:r>
        <w:rPr>
          <w:rFonts w:ascii="Times New Roman" w:hAnsi="Times New Roman"/>
          <w:sz w:val="20"/>
        </w:rPr>
        <w:t xml:space="preserve"> </w:t>
      </w:r>
      <w:r>
        <w:rPr>
          <w:rFonts w:ascii="Times New Roman" w:hAnsi="Times New Roman"/>
          <w:sz w:val="20"/>
        </w:rPr>
        <w:t xml:space="preserve">these rules are evaluated as application-layer logic within the</w:t>
      </w:r>
      <w:r>
        <w:rPr>
          <w:rFonts w:ascii="Times New Roman" w:hAnsi="Times New Roman"/>
          <w:sz w:val="20"/>
        </w:rPr>
        <w:t xml:space="preserve"> </w:t>
      </w:r>
      <w:r>
        <w:rPr>
          <w:rFonts w:ascii="Times New Roman" w:hAnsi="Times New Roman"/>
          <w:sz w:val="20"/>
        </w:rPr>
        <w:t xml:space="preserve">inference endpoint, using the published degradation coefficients</w:t>
      </w:r>
      <w:r>
        <w:rPr>
          <w:rFonts w:ascii="Times New Roman" w:hAnsi="Times New Roman"/>
          <w:sz w:val="20"/>
        </w:rPr>
        <w:t xml:space="preserve"> </w:t>
      </w:r>
      <w:r>
        <w:rPr>
          <w:rFonts w:ascii="Times New Roman" w:hAnsi="Times New Roman"/>
          <w:sz w:val="20"/>
        </w:rPr>
        <w:t xml:space="preserve">directly. The two most consequential rules, expressed in SWRL syntax for</w:t>
      </w:r>
      <w:r>
        <w:rPr>
          <w:rFonts w:ascii="Times New Roman" w:hAnsi="Times New Roman"/>
          <w:sz w:val="20"/>
        </w:rPr>
        <w:t xml:space="preserve"> </w:t>
      </w:r>
      <w:r>
        <w:rPr>
          <w:rFonts w:ascii="Times New Roman" w:hAnsi="Times New Roman"/>
          <w:sz w:val="20"/>
        </w:rPr>
        <w:t xml:space="preserve">clarity, are:</w:t>
      </w:r>
    </w:p>
    <w:p>
      <w:pPr>
        <w:pStyle w:val="BodyText"/>
        <w:jc w:val="both"/>
      </w:pPr>
      <w:r>
        <w:rPr>
          <w:i/>
          <w:iCs/>
        </w:rPr>
        <w:t xml:space="preserve">Rule 1 (Bacterial Blight — primary compound impact):</w:t>
      </w:r>
    </w:p>
    <w:p>
      <w:pPr>
        <w:pStyle w:val="BodyText"/>
        <w:jc w:val="both"/>
      </w:pPr>
      <m:oMathPara>
        <m:oMathParaPr>
          <m:jc m:val="center"/>
        </m:oMathParaPr>
        <m:oMath>
          <m:r>
            <m:rPr>
              <m:nor/>
              <m:scr m:val="monospace"/>
              <m:sty m:val="p"/>
            </m:rPr>
            <m:t>Disease</m:t>
          </m:r>
          <m:r>
            <m:rPr>
              <m:sty m:val="p"/>
            </m:rPr>
            <m:t>(</m:t>
          </m:r>
          <m:r>
            <m:rPr>
              <m:sty m:val="p"/>
            </m:rPr>
            <m:t>?</m:t>
          </m:r>
          <m:r>
            <m:t>d</m:t>
          </m:r>
          <m:r>
            <m:rPr>
              <m:sty m:val="p"/>
            </m:rPr>
            <m:t>)</m:t>
          </m:r>
          <m:r>
            <m:rPr>
              <m:sty m:val="p"/>
            </m:rPr>
            <m:t>∧</m:t>
          </m:r>
          <m:r>
            <m:rPr>
              <m:nor/>
              <m:scr m:val="monospace"/>
              <m:sty m:val="p"/>
            </m:rPr>
            <m:t>isBacterialBlight</m:t>
          </m:r>
          <m:r>
            <m:rPr>
              <m:sty m:val="p"/>
            </m:rPr>
            <m:t>(</m:t>
          </m:r>
          <m:r>
            <m:rPr>
              <m:sty m:val="p"/>
            </m:rPr>
            <m:t>?</m:t>
          </m:r>
          <m:r>
            <m:t>d</m:t>
          </m:r>
          <m:r>
            <m:rPr>
              <m:sty m:val="p"/>
            </m:rPr>
            <m:t>)</m:t>
          </m:r>
          <m:r>
            <m:rPr>
              <m:sty m:val="p"/>
            </m:rPr>
            <m:t>→</m:t>
          </m:r>
          <m:sSub>
            <m:e>
              <m:r>
                <m:t>δ</m:t>
              </m:r>
            </m:e>
            <m:sub>
              <m:r>
                <m:rPr>
                  <m:nor/>
                  <m:sty m:val="p"/>
                </m:rPr>
                <m:t>Puni</m:t>
              </m:r>
            </m:sub>
          </m:sSub>
          <m:r>
            <m:rPr>
              <m:sty m:val="p"/>
            </m:rPr>
            <m:t>=</m:t>
          </m:r>
          <m:r>
            <m:t>0.35</m:t>
          </m:r>
          <m:r>
            <m:rPr>
              <m:sty m:val="p"/>
            </m:rPr>
            <m:t>,</m:t>
          </m:r>
          <m:r>
            <m:t> </m:t>
          </m:r>
          <m:sSub>
            <m:e>
              <m:r>
                <m:t>δ</m:t>
              </m:r>
            </m:e>
            <m:sub>
              <m:r>
                <m:rPr>
                  <m:nor/>
                  <m:sty m:val="p"/>
                </m:rPr>
                <m:t>Antho</m:t>
              </m:r>
            </m:sub>
          </m:sSub>
          <m:r>
            <m:rPr>
              <m:sty m:val="p"/>
            </m:rPr>
            <m:t>=</m:t>
          </m:r>
          <m:r>
            <m:t>0.40</m:t>
          </m:r>
          <m:r>
            <m:rPr>
              <m:sty m:val="p"/>
            </m:rPr>
            <m:t>,</m:t>
          </m:r>
          <m:r>
            <m:t> </m:t>
          </m:r>
          <m:sSub>
            <m:e>
              <m:r>
                <m:t>δ</m:t>
              </m:r>
            </m:e>
            <m:sub>
              <m:r>
                <m:rPr>
                  <m:nor/>
                  <m:sty m:val="p"/>
                </m:rPr>
                <m:t>EA</m:t>
              </m:r>
            </m:sub>
          </m:sSub>
          <m:r>
            <m:rPr>
              <m:sty m:val="p"/>
            </m:rPr>
            <m:t>=</m:t>
          </m:r>
          <m:r>
            <m:t>0.30</m:t>
          </m:r>
        </m:oMath>
      </m:oMathPara>
    </w:p>
    <w:p>
      <w:pPr>
        <w:pStyle w:val="FirstParagraph"/>
      </w:pPr>
      <w:r>
        <w:rPr>
          <w:i/>
          <w:iCs/>
        </w:rPr>
        <w:t xml:space="preserve">Rule 2 (UV stress exacerbation of Anthocyanin degradation):</w:t>
      </w:r>
    </w:p>
    <w:p>
      <w:pPr>
        <w:pStyle w:val="BodyText"/>
        <w:jc w:val="both"/>
      </w:pPr>
      <m:oMathPara>
        <m:oMathParaPr>
          <m:jc m:val="center"/>
        </m:oMathParaPr>
        <m:oMath>
          <m:r>
            <m:rPr>
              <m:nor/>
              <m:scr m:val="monospace"/>
              <m:sty m:val="p"/>
            </m:rPr>
            <m:t>HighUV</m:t>
          </m:r>
          <m:r>
            <m:rPr>
              <m:sty m:val="p"/>
            </m:rPr>
            <m:t>(</m:t>
          </m:r>
          <m:r>
            <m:rPr>
              <m:sty m:val="p"/>
            </m:rPr>
            <m:t>?</m:t>
          </m:r>
          <m:r>
            <m:t>e</m:t>
          </m:r>
          <m:r>
            <m:rPr>
              <m:sty m:val="p"/>
            </m:rPr>
            <m:t>)</m:t>
          </m:r>
          <m:r>
            <m:rPr>
              <m:sty m:val="p"/>
            </m:rPr>
            <m:t>∧</m:t>
          </m:r>
          <m:r>
            <m:rPr>
              <m:nor/>
              <m:scr m:val="monospace"/>
              <m:sty m:val="p"/>
            </m:rPr>
            <m:t>isExacerbatedBy</m:t>
          </m:r>
          <m:r>
            <m:rPr>
              <m:sty m:val="p"/>
            </m:rPr>
            <m:t>(</m:t>
          </m:r>
          <m:r>
            <m:rPr>
              <m:sty m:val="p"/>
            </m:rPr>
            <m:t>?</m:t>
          </m:r>
          <m:r>
            <m:t>d</m:t>
          </m:r>
          <m:r>
            <m:rPr>
              <m:sty m:val="p"/>
            </m:rPr>
            <m:t>,</m:t>
          </m:r>
          <m:r>
            <m:rPr>
              <m:sty m:val="p"/>
            </m:rPr>
            <m:t>?</m:t>
          </m:r>
          <m:r>
            <m:t>e</m:t>
          </m:r>
          <m:r>
            <m:rPr>
              <m:sty m:val="p"/>
            </m:rPr>
            <m:t>)</m:t>
          </m:r>
          <m:r>
            <m:rPr>
              <m:sty m:val="p"/>
            </m:rPr>
            <m:t>→</m:t>
          </m:r>
          <m:sSub>
            <m:e>
              <m:r>
                <m:t>δ</m:t>
              </m:r>
            </m:e>
            <m:sub>
              <m:r>
                <m:rPr>
                  <m:nor/>
                  <m:sty m:val="p"/>
                </m:rPr>
                <m:t>Antho</m:t>
              </m:r>
            </m:sub>
          </m:sSub>
          <m:r>
            <m:rPr>
              <m:sty m:val="p"/>
            </m:rPr>
            <m:t>+</m:t>
          </m:r>
          <m:r>
            <m:rPr>
              <m:sty m:val="p"/>
            </m:rPr>
            <m:t>=</m:t>
          </m:r>
          <m:r>
            <m:t>0.30</m:t>
          </m:r>
          <m:r>
            <m:rPr>
              <m:sty m:val="p"/>
            </m:rPr>
            <m:t>,</m:t>
          </m:r>
          <m:r>
            <m:t> </m:t>
          </m:r>
          <m:sSub>
            <m:e>
              <m:r>
                <m:t>δ</m:t>
              </m:r>
            </m:e>
            <m:sub>
              <m:r>
                <m:rPr>
                  <m:nor/>
                  <m:sty m:val="p"/>
                </m:rPr>
                <m:t>Puni</m:t>
              </m:r>
            </m:sub>
          </m:sSub>
          <m:r>
            <m:rPr>
              <m:sty m:val="p"/>
            </m:rPr>
            <m:t>+</m:t>
          </m:r>
          <m:r>
            <m:rPr>
              <m:sty m:val="p"/>
            </m:rPr>
            <m:t>=</m:t>
          </m:r>
          <m:r>
            <m:t>0.05</m:t>
          </m:r>
          <m:r>
            <m:rPr>
              <m:sty m:val="p"/>
            </m:rPr>
            <m:t>,</m:t>
          </m:r>
          <m:r>
            <m:t> </m:t>
          </m:r>
          <m:sSub>
            <m:e>
              <m:r>
                <m:t>δ</m:t>
              </m:r>
            </m:e>
            <m:sub>
              <m:r>
                <m:rPr>
                  <m:nor/>
                  <m:sty m:val="p"/>
                </m:rPr>
                <m:t>EA</m:t>
              </m:r>
            </m:sub>
          </m:sSub>
          <m:r>
            <m:rPr>
              <m:sty m:val="p"/>
            </m:rPr>
            <m:t>+</m:t>
          </m:r>
          <m:r>
            <m:rPr>
              <m:sty m:val="p"/>
            </m:rPr>
            <m:t>=</m:t>
          </m:r>
          <m:r>
            <m:t>0.10</m:t>
          </m:r>
        </m:oMath>
      </m:oMathPara>
    </w:p>
    <w:p>
      <w:pPr>
        <w:pStyle w:val="FirstParagraph"/>
      </w:pPr>
      <w:r>
        <w:t xml:space="preserve">A full table of the base degradation coefficients for all five disease</w:t>
      </w:r>
      <w:r>
        <w:t xml:space="preserve"> </w:t>
      </w:r>
      <w:r>
        <w:t xml:space="preserve">categories and the UV stress exacerbation modifier is shown in</w:t>
      </w:r>
      <w:r>
        <w:t xml:space="preserve"> </w:t>
      </w:r>
      <w:r>
        <w:t xml:space="preserve">Table </w:t>
      </w:r>
      <w:hyperlink w:anchor="tab:degradation_rules">
        <w:r>
          <w:rPr>
            <w:rStyle w:val="Hyperlink"/>
          </w:rPr>
          <w:t xml:space="preserve">1</w:t>
        </w:r>
      </w:hyperlink>
      <w:r>
        <w:t xml:space="preserve">. Severe severity cases apply a</w:t>
      </w:r>
      <w:r>
        <w:t xml:space="preserve"> </w:t>
      </w:r>
      <w:r>
        <w:t xml:space="preserve">uniform</w:t>
      </w:r>
      <w:r>
        <w:t xml:space="preserve"> </w:t>
      </w:r>
      <m:oMath>
        <m:r>
          <m:t>1.5</m:t>
        </m:r>
        <m:r>
          <m:rPr>
            <m:sty m:val="p"/>
          </m:rPr>
          <m:t>×</m:t>
        </m:r>
      </m:oMath>
      <w:r>
        <w:t xml:space="preserve"> </w:t>
      </w:r>
      <w:r>
        <w:t xml:space="preserve">multiplier to all base coefficients. The final</w:t>
      </w:r>
      <w:r>
        <w:t xml:space="preserve"> </w:t>
      </w:r>
      <w:r>
        <w:t xml:space="preserve">compound concentration is:</w:t>
      </w:r>
      <w:r>
        <w:t xml:space="preserve"> </w:t>
      </w:r>
      <m:oMath>
        <m:sSub>
          <m:e>
            <m:r>
              <m:t>C</m:t>
            </m:r>
          </m:e>
          <m:sub>
            <m:r>
              <m:t>p</m:t>
            </m:r>
          </m:sub>
        </m:sSub>
        <m:r>
          <m:rPr>
            <m:sty m:val="p"/>
          </m:rPr>
          <m:t>=</m:t>
        </m:r>
        <m:sSub>
          <m:e>
            <m:r>
              <m:t>C</m:t>
            </m:r>
          </m:e>
          <m:sub>
            <m:r>
              <m:t>p</m:t>
            </m:r>
            <m:r>
              <m:rPr>
                <m:sty m:val="p"/>
              </m:rPr>
              <m:t>,</m:t>
            </m:r>
            <m:r>
              <m:rPr>
                <m:nor/>
                <m:sty m:val="p"/>
              </m:rPr>
              <m:t>base</m:t>
            </m:r>
          </m:sub>
        </m:sSub>
        <m:r>
          <m:rPr>
            <m:sty m:val="p"/>
          </m:rPr>
          <m:t>⋅</m:t>
        </m:r>
        <m:r>
          <m:rPr>
            <m:sty m:val="p"/>
          </m:rPr>
          <m:t>max</m:t>
        </m:r>
        <m:r>
          <m:rPr>
            <m:sty m:val="p"/>
          </m:rPr>
          <m:t>(</m:t>
        </m:r>
        <m:r>
          <m:t>0</m:t>
        </m:r>
        <m:r>
          <m:rPr>
            <m:sty m:val="p"/>
          </m:rPr>
          <m:t>,</m:t>
        </m:r>
        <m:r>
          <m:t> </m:t>
        </m:r>
        <m:r>
          <m:t>1</m:t>
        </m:r>
        <m:r>
          <m:rPr>
            <m:sty m:val="p"/>
          </m:rPr>
          <m:t>−</m:t>
        </m:r>
        <m:sSub>
          <m:e>
            <m:r>
              <m:t>δ</m:t>
            </m:r>
          </m:e>
          <m:sub>
            <m:r>
              <m:t>p</m:t>
            </m:r>
          </m:sub>
        </m:sSub>
        <m:r>
          <m:rPr>
            <m:sty m:val="p"/>
          </m:rPr>
          <m:t>)</m:t>
        </m:r>
      </m:oMath>
      <w:r>
        <w:t xml:space="preserve">, where baseline</w:t>
      </w:r>
      <w:r>
        <w:t xml:space="preserve"> </w:t>
      </w:r>
      <w:r>
        <w:t xml:space="preserve">Bhagwa values are 150.0 mg/100 g for Punicalagins, 18.0 mg/100 g for</w:t>
      </w:r>
      <w:r>
        <w:t xml:space="preserve"> </w:t>
      </w:r>
      <w:r>
        <w:t xml:space="preserve">Anthocyanins, and 15.0 mg/100 g for Ellagic Acid (derived from the</w:t>
      </w:r>
      <w:r>
        <w:t xml:space="preserve"> </w:t>
      </w:r>
      <w:r>
        <w:t xml:space="preserve">literature range for the cultivar (Gil et al. 2000)). The overall</w:t>
      </w:r>
      <w:r>
        <w:t xml:space="preserve"> </w:t>
      </w:r>
      <w:r>
        <w:t xml:space="preserve">nutritional score is:</w:t>
      </w:r>
      <w:r>
        <w:t xml:space="preserve"> </w:t>
      </w:r>
      <m:oMath>
        <m:r>
          <m:rPr>
            <m:scr m:val="script"/>
            <m:sty m:val="p"/>
          </m:rPr>
          <m:t>N</m:t>
        </m:r>
        <m:r>
          <m:rPr>
            <m:sty m:val="p"/>
          </m:rPr>
          <m:t>=</m:t>
        </m:r>
        <m:r>
          <m:t>100</m:t>
        </m:r>
        <m:r>
          <m:rPr>
            <m:sty m:val="p"/>
          </m:rPr>
          <m:t>−</m:t>
        </m:r>
        <m:r>
          <m:rPr>
            <m:sty m:val="p"/>
          </m:rPr>
          <m:t>(</m:t>
        </m:r>
        <m:r>
          <m:t>40</m:t>
        </m:r>
        <m:r>
          <m:t> </m:t>
        </m:r>
        <m:sSub>
          <m:e>
            <m:r>
              <m:t>δ</m:t>
            </m:r>
          </m:e>
          <m:sub>
            <m:r>
              <m:rPr>
                <m:nor/>
                <m:sty m:val="p"/>
              </m:rPr>
              <m:t>Puni</m:t>
            </m:r>
          </m:sub>
        </m:sSub>
        <m:r>
          <m:rPr>
            <m:sty m:val="p"/>
          </m:rPr>
          <m:t>+</m:t>
        </m:r>
        <m:r>
          <m:t>30</m:t>
        </m:r>
        <m:r>
          <m:t> </m:t>
        </m:r>
        <m:sSub>
          <m:e>
            <m:r>
              <m:t>δ</m:t>
            </m:r>
          </m:e>
          <m:sub>
            <m:r>
              <m:rPr>
                <m:nor/>
                <m:sty m:val="p"/>
              </m:rPr>
              <m:t>EA</m:t>
            </m:r>
          </m:sub>
        </m:sSub>
        <m:r>
          <m:rPr>
            <m:sty m:val="p"/>
          </m:rPr>
          <m:t>+</m:t>
        </m:r>
        <m:r>
          <m:t>30</m:t>
        </m:r>
        <m:r>
          <m:t> </m:t>
        </m:r>
        <m:sSub>
          <m:e>
            <m:r>
              <m:t>δ</m:t>
            </m:r>
          </m:e>
          <m:sub>
            <m:r>
              <m:rPr>
                <m:nor/>
                <m:sty m:val="p"/>
              </m:rPr>
              <m:t>Antho</m:t>
            </m:r>
          </m:sub>
        </m:sSub>
        <m:r>
          <m:rPr>
            <m:sty m:val="p"/>
          </m:rPr>
          <m:t>)</m:t>
        </m:r>
      </m:oMath>
      <w:r>
        <w:t xml:space="preserve">,</w:t>
      </w:r>
      <w:r>
        <w:t xml:space="preserve"> </w:t>
      </w:r>
      <w:r>
        <w:t xml:space="preserve">clipped to</w:t>
      </w:r>
      <w:r>
        <w:t xml:space="preserve"> </w:t>
      </w:r>
      <m:oMath>
        <m:r>
          <m:rPr>
            <m:sty m:val="p"/>
          </m:rPr>
          <m:t>[</m:t>
        </m:r>
        <m:r>
          <m:t>0</m:t>
        </m:r>
        <m:r>
          <m:rPr>
            <m:sty m:val="p"/>
          </m:rPr>
          <m:t>,</m:t>
        </m:r>
        <m:r>
          <m:t>100</m:t>
        </m:r>
        <m:r>
          <m:rPr>
            <m:sty m:val="p"/>
          </m:rPr>
          <m:t>]</m:t>
        </m:r>
      </m:oMath>
      <w:r>
        <w:t xml:space="preserve">.</w:t>
      </w:r>
    </w:p>
    <w:p>
      <w:pPr>
        <w:pStyle w:val="TableCaption"/>
        <w:jc w:val="both"/>
      </w:pPr>
      <w:r>
        <w:rPr>
          <w:rFonts w:ascii="Times New Roman" w:hAnsi="Times New Roman"/>
          <w:sz w:val="20"/>
        </w:rPr>
        <w:t xml:space="preserve">Phytochemical Degradation Coefficients by Disease Class.</w:t>
      </w:r>
      <w:r>
        <w:rPr>
          <w:rFonts w:ascii="Times New Roman" w:hAnsi="Times New Roman"/>
          <w:sz w:val="20"/>
        </w:rPr>
        <w:t xml:space="preserve"> </w:t>
      </w:r>
      <w:r>
        <w:rPr>
          <w:rFonts w:ascii="Times New Roman" w:hAnsi="Times New Roman"/>
          <w:sz w:val="20"/>
        </w:rPr>
        <w:t xml:space="preserve">Coefficients represent fractional reduction from Bhagwa baseline</w:t>
      </w:r>
      <w:r>
        <w:rPr>
          <w:rFonts w:ascii="Times New Roman" w:hAnsi="Times New Roman"/>
          <w:sz w:val="20"/>
        </w:rPr>
        <w:t xml:space="preserve"> </w:t>
      </w:r>
      <w:r>
        <w:rPr>
          <w:rFonts w:ascii="Times New Roman" w:hAnsi="Times New Roman"/>
          <w:sz w:val="20"/>
        </w:rPr>
        <w:t xml:space="preserve">concentration. Severe severity applies a</w:t>
      </w:r>
      <w:r>
        <w:rPr>
          <w:rFonts w:ascii="Times New Roman" w:hAnsi="Times New Roman"/>
          <w:sz w:val="20"/>
        </w:rPr>
        <w:t xml:space="preserve"> </w:t>
      </w:r>
      <m:oMath>
        <m:r>
          <m:t>1.5</m:t>
        </m:r>
        <m:r>
          <m:rPr>
            <m:sty m:val="p"/>
          </m:rPr>
          <m:t>×</m:t>
        </m:r>
      </m:oMath>
      <w:r>
        <w:rPr>
          <w:rFonts w:ascii="Times New Roman" w:hAnsi="Times New Roman"/>
          <w:sz w:val="20"/>
        </w:rPr>
        <w:t xml:space="preserve"> </w:t>
      </w:r>
      <w:r>
        <w:rPr>
          <w:rFonts w:ascii="Times New Roman" w:hAnsi="Times New Roman"/>
          <w:sz w:val="20"/>
        </w:rPr>
        <w:t xml:space="preserve">multiplier</w:t>
      </w:r>
      <w:r>
        <w:rPr>
          <w:rFonts w:ascii="Times New Roman" w:hAnsi="Times New Roman"/>
          <w:sz w:val="20"/>
        </w:rPr>
        <w:t xml:space="preserve"> </w:t>
      </w:r>
      <w:r>
        <w:rPr>
          <w:rFonts w:ascii="Times New Roman" w:hAnsi="Times New Roman"/>
          <w:sz w:val="20"/>
        </w:rPr>
        <w:t xml:space="preserve">uniformly. UV stress adds the stated increments when UV irradiance</w:t>
      </w:r>
      <w:r>
        <w:rPr>
          <w:rFonts w:ascii="Times New Roman" w:hAnsi="Times New Roman"/>
          <w:sz w:val="20"/>
        </w:rPr>
        <w:t xml:space="preserve"> </w:t>
      </w:r>
      <w:r>
        <w:rPr>
          <w:rFonts w:ascii="Times New Roman" w:hAnsi="Times New Roman"/>
          <w:sz w:val="20"/>
        </w:rPr>
        <w:t xml:space="preserve">exceeds 1,000 W/m</w:t>
      </w:r>
      <m:oMath>
        <m:sSup>
          <m:e>
            <m:r>
              <m:t>​</m:t>
            </m:r>
          </m:e>
          <m:sup>
            <m:r>
              <m:t>2</m:t>
            </m:r>
          </m:sup>
        </m:sSup>
      </m:oMath>
      <w:r>
        <w:rPr>
          <w:rFonts w:ascii="Times New Roman" w:hAnsi="Times New Roman"/>
          <w:sz w:val="20"/>
        </w:rPr>
        <w:t xml:space="preserve">.</w:t>
      </w:r>
    </w:p>
    <w:tbl>
      <w:tblPr>
        <w:tblStyle w:val="Table"/>
        <w:tblW w:type="auto" w:w="0"/>
        <w:tblLook w:firstRow="1" w:lastRow="0" w:firstColumn="0" w:lastColumn="0" w:noHBand="0" w:noVBand="0" w:val="0020"/>
        <w:tblCaption w:val="Phytochemical Degradation Coefficients by Disease Class. Coefficients represent fractional reduction from Bhagwa baseline concentration. Severe severity applies a 1.5\times multiplier uniformly. UV stress adds the stated increments when UV irradiance exceeds 1,000 W/m^2."/>
      </w:tblPr>
      <w:tblGrid>
        <w:gridCol w:w="1980"/>
        <w:gridCol w:w="1980"/>
        <w:gridCol w:w="1980"/>
        <w:gridCol w:w="1980"/>
      </w:tblGrid>
      <w:tr>
        <w:trPr>
          <w:tblHeader w:val="on"/>
        </w:trPr>
        <w:tc>
          <w:tcPr/>
          <w:p>
            <w:pPr>
              <w:pStyle w:val="Compact"/>
              <w:jc w:val="left"/>
            </w:pPr>
            <w:r>
              <w:rPr>
                <w:b/>
                <w:bCs/>
              </w:rPr>
              <w:t xml:space="preserve">Disease / Stressor</w:t>
            </w:r>
          </w:p>
        </w:tc>
        <w:tc>
          <w:tcPr/>
          <w:p>
            <w:pPr>
              <w:pStyle w:val="Compact"/>
              <w:jc w:val="center"/>
            </w:pPr>
            <m:oMath>
              <m:sSub>
                <m:e>
                  <m:r>
                    <m:t>δ</m:t>
                  </m:r>
                </m:e>
                <m:sub>
                  <m:r>
                    <m:rPr>
                      <m:nor/>
                      <m:sty m:val="p"/>
                    </m:rPr>
                    <m:t>Puni</m:t>
                  </m:r>
                </m:sub>
              </m:sSub>
            </m:oMath>
          </w:p>
        </w:tc>
        <w:tc>
          <w:tcPr/>
          <w:p>
            <w:pPr>
              <w:pStyle w:val="Compact"/>
              <w:jc w:val="center"/>
            </w:pPr>
            <m:oMath>
              <m:sSub>
                <m:e>
                  <m:r>
                    <m:t>δ</m:t>
                  </m:r>
                </m:e>
                <m:sub>
                  <m:r>
                    <m:rPr>
                      <m:nor/>
                      <m:sty m:val="p"/>
                    </m:rPr>
                    <m:t>Antho</m:t>
                  </m:r>
                </m:sub>
              </m:sSub>
            </m:oMath>
          </w:p>
        </w:tc>
        <w:tc>
          <w:tcPr/>
          <w:p>
            <w:pPr>
              <w:pStyle w:val="Compact"/>
              <w:jc w:val="center"/>
            </w:pPr>
            <m:oMath>
              <m:sSub>
                <m:e>
                  <m:r>
                    <m:t>δ</m:t>
                  </m:r>
                </m:e>
                <m:sub>
                  <m:r>
                    <m:rPr>
                      <m:nor/>
                      <m:sty m:val="p"/>
                    </m:rPr>
                    <m:t>EA</m:t>
                  </m:r>
                </m:sub>
              </m:sSub>
            </m:oMath>
          </w:p>
        </w:tc>
      </w:tr>
      <w:tr>
        <w:tc>
          <w:tcPr/>
          <w:p>
            <w:pPr>
              <w:pStyle w:val="Compact"/>
              <w:jc w:val="left"/>
            </w:pPr>
            <w:r>
              <w:t xml:space="preserve">Anthracnose</w:t>
            </w:r>
          </w:p>
        </w:tc>
        <w:tc>
          <w:tcPr/>
          <w:p>
            <w:pPr>
              <w:pStyle w:val="Compact"/>
              <w:jc w:val="center"/>
            </w:pPr>
            <w:r>
              <w:t xml:space="preserve">0.15</w:t>
            </w:r>
          </w:p>
        </w:tc>
        <w:tc>
          <w:tcPr/>
          <w:p>
            <w:pPr>
              <w:pStyle w:val="Compact"/>
              <w:jc w:val="center"/>
            </w:pPr>
            <w:r>
              <w:t xml:space="preserve">0.20</w:t>
            </w:r>
          </w:p>
        </w:tc>
        <w:tc>
          <w:tcPr/>
          <w:p>
            <w:pPr>
              <w:pStyle w:val="Compact"/>
              <w:jc w:val="center"/>
            </w:pPr>
            <w:r>
              <w:t xml:space="preserve">0.40</w:t>
            </w:r>
          </w:p>
        </w:tc>
      </w:tr>
      <w:tr>
        <w:tc>
          <w:tcPr/>
          <w:p>
            <w:pPr>
              <w:pStyle w:val="Compact"/>
              <w:jc w:val="left"/>
            </w:pPr>
            <w:r>
              <w:t xml:space="preserve">Bacterial Blight</w:t>
            </w:r>
          </w:p>
        </w:tc>
        <w:tc>
          <w:tcPr/>
          <w:p>
            <w:pPr>
              <w:pStyle w:val="Compact"/>
              <w:jc w:val="center"/>
            </w:pPr>
            <w:r>
              <w:t xml:space="preserve">0.35</w:t>
            </w:r>
          </w:p>
        </w:tc>
        <w:tc>
          <w:tcPr/>
          <w:p>
            <w:pPr>
              <w:pStyle w:val="Compact"/>
              <w:jc w:val="center"/>
            </w:pPr>
            <w:r>
              <w:t xml:space="preserve">0.40</w:t>
            </w:r>
          </w:p>
        </w:tc>
        <w:tc>
          <w:tcPr/>
          <w:p>
            <w:pPr>
              <w:pStyle w:val="Compact"/>
              <w:jc w:val="center"/>
            </w:pPr>
            <w:r>
              <w:t xml:space="preserve">0.30</w:t>
            </w:r>
          </w:p>
        </w:tc>
      </w:tr>
      <w:tr>
        <w:tc>
          <w:tcPr/>
          <w:p>
            <w:pPr>
              <w:pStyle w:val="Compact"/>
              <w:jc w:val="left"/>
            </w:pPr>
            <w:r>
              <w:t xml:space="preserve">Alternaria</w:t>
            </w:r>
          </w:p>
        </w:tc>
        <w:tc>
          <w:tcPr/>
          <w:p>
            <w:pPr>
              <w:pStyle w:val="Compact"/>
              <w:jc w:val="center"/>
            </w:pPr>
            <w:r>
              <w:t xml:space="preserve">0.20</w:t>
            </w:r>
          </w:p>
        </w:tc>
        <w:tc>
          <w:tcPr/>
          <w:p>
            <w:pPr>
              <w:pStyle w:val="Compact"/>
              <w:jc w:val="center"/>
            </w:pPr>
            <w:r>
              <w:t xml:space="preserve">0.15</w:t>
            </w:r>
          </w:p>
        </w:tc>
        <w:tc>
          <w:tcPr/>
          <w:p>
            <w:pPr>
              <w:pStyle w:val="Compact"/>
              <w:jc w:val="center"/>
            </w:pPr>
            <w:r>
              <w:t xml:space="preserve">0.25</w:t>
            </w:r>
          </w:p>
        </w:tc>
      </w:tr>
      <w:tr>
        <w:tc>
          <w:tcPr/>
          <w:p>
            <w:pPr>
              <w:pStyle w:val="Compact"/>
              <w:jc w:val="left"/>
            </w:pPr>
            <w:r>
              <w:t xml:space="preserve">Cercospora</w:t>
            </w:r>
          </w:p>
        </w:tc>
        <w:tc>
          <w:tcPr/>
          <w:p>
            <w:pPr>
              <w:pStyle w:val="Compact"/>
              <w:jc w:val="center"/>
            </w:pPr>
            <w:r>
              <w:t xml:space="preserve">0.10</w:t>
            </w:r>
          </w:p>
        </w:tc>
        <w:tc>
          <w:tcPr/>
          <w:p>
            <w:pPr>
              <w:pStyle w:val="Compact"/>
              <w:jc w:val="center"/>
            </w:pPr>
            <w:r>
              <w:t xml:space="preserve">0.10</w:t>
            </w:r>
          </w:p>
        </w:tc>
        <w:tc>
          <w:tcPr/>
          <w:p>
            <w:pPr>
              <w:pStyle w:val="Compact"/>
              <w:jc w:val="center"/>
            </w:pPr>
            <w:r>
              <w:t xml:space="preserve">0.20</w:t>
            </w:r>
          </w:p>
        </w:tc>
      </w:tr>
      <w:tr>
        <w:tc>
          <w:tcPr/>
          <w:p>
            <w:pPr>
              <w:pStyle w:val="Compact"/>
              <w:jc w:val="left"/>
            </w:pPr>
            <w:r>
              <w:t xml:space="preserve">Healthy</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r>
      <w:tr>
        <w:tc>
          <w:tcPr/>
          <w:p>
            <w:pPr>
              <w:pStyle w:val="Compact"/>
              <w:jc w:val="left"/>
            </w:pPr>
            <w:r>
              <w:t xml:space="preserve">High UV (additive)</w:t>
            </w:r>
          </w:p>
        </w:tc>
        <w:tc>
          <w:tcPr/>
          <w:p>
            <w:pPr>
              <w:pStyle w:val="Compact"/>
              <w:jc w:val="center"/>
            </w:pPr>
            <w:r>
              <w:t xml:space="preserve">+0.05</w:t>
            </w:r>
          </w:p>
        </w:tc>
        <w:tc>
          <w:tcPr/>
          <w:p>
            <w:pPr>
              <w:pStyle w:val="Compact"/>
              <w:jc w:val="center"/>
            </w:pPr>
            <w:r>
              <w:t xml:space="preserve">+0.30</w:t>
            </w:r>
          </w:p>
        </w:tc>
        <w:tc>
          <w:tcPr/>
          <w:p>
            <w:pPr>
              <w:pStyle w:val="Compact"/>
              <w:jc w:val="center"/>
            </w:pPr>
            <w:r>
              <w:t xml:space="preserve">+0.10</w:t>
            </w:r>
          </w:p>
        </w:tc>
      </w:tr>
    </w:tbl>
    <w:bookmarkEnd w:id="18"/>
    <w:bookmarkStart w:id="19" w:name="sec:env_scoring"/>
    <w:p>
      <w:pPr>
        <w:pStyle w:val="Heading2"/>
      </w:pPr>
      <w:r>
        <w:t xml:space="preserve">Environmental Stress Scoring</w:t>
      </w:r>
    </w:p>
    <w:p>
      <w:pPr>
        <w:pStyle w:val="FirstParagraph"/>
      </w:pPr>
      <w:r>
        <w:t xml:space="preserve">The Environment Agent processes three numeric inputs—temperature</w:t>
      </w:r>
      <w:r>
        <w:t xml:space="preserve"> </w:t>
      </w:r>
      <m:oMath>
        <m:r>
          <m:t>T</m:t>
        </m:r>
      </m:oMath>
      <w:r>
        <w:t xml:space="preserve"> </w:t>
      </w:r>
      <w:r>
        <w:t xml:space="preserve">(°C), relative humidity</w:t>
      </w:r>
      <w:r>
        <w:t xml:space="preserve"> </w:t>
      </w:r>
      <m:oMath>
        <m:r>
          <m:t>H</m:t>
        </m:r>
      </m:oMath>
      <w:r>
        <w:t xml:space="preserve"> </w:t>
      </w:r>
      <w:r>
        <w:t xml:space="preserve">(%), and UV irradiance</w:t>
      </w:r>
      <w:r>
        <w:t xml:space="preserve"> </w:t>
      </w:r>
      <m:oMath>
        <m:r>
          <m:t>U</m:t>
        </m:r>
      </m:oMath>
      <w:r>
        <w:t xml:space="preserve"> </w:t>
      </w:r>
      <w:r>
        <w:t xml:space="preserve">(W/m</w:t>
      </w:r>
      <m:oMath>
        <m:sSup>
          <m:e>
            <m:r>
              <m:t>​</m:t>
            </m:r>
          </m:e>
          <m:sup>
            <m:r>
              <m:t>2</m:t>
            </m:r>
          </m:sup>
        </m:sSup>
      </m:oMath>
      <w:r>
        <w:t xml:space="preserve">)—and</w:t>
      </w:r>
      <w:r>
        <w:t xml:space="preserve"> </w:t>
      </w:r>
      <w:r>
        <w:t xml:space="preserve">classifies each dimension as either</w:t>
      </w:r>
      <w:r>
        <w:t xml:space="preserve"> </w:t>
      </w:r>
      <w:r>
        <w:rPr>
          <w:i/>
          <w:iCs/>
        </w:rPr>
        <w:t xml:space="preserve">Optimal</w:t>
      </w:r>
      <w:r>
        <w:t xml:space="preserve"> </w:t>
      </w:r>
      <w:r>
        <w:t xml:space="preserve">or</w:t>
      </w:r>
      <w:r>
        <w:t xml:space="preserve"> </w:t>
      </w:r>
      <w:r>
        <w:rPr>
          <w:i/>
          <w:iCs/>
        </w:rPr>
        <w:t xml:space="preserve">High-Stress</w:t>
      </w:r>
      <w:r>
        <w:t xml:space="preserve"> </w:t>
      </w:r>
      <w:r>
        <w:t xml:space="preserve">using the</w:t>
      </w:r>
      <w:r>
        <w:t xml:space="preserve"> </w:t>
      </w:r>
      <w:r>
        <w:t xml:space="preserve">following domain-derived thresholds:</w:t>
      </w:r>
    </w:p>
    <w:p>
      <w:pPr>
        <w:pStyle w:val="BodyText"/>
        <w:jc w:val="both"/>
      </w:pPr>
      <m:oMathPara>
        <m:oMathParaPr>
          <m:jc m:val="center"/>
        </m:oMathParaPr>
        <m:oMath>
          <m:eqArr>
            <m:e>
              <m:r>
                <m:rPr>
                  <m:nor/>
                  <m:sty m:val="p"/>
                </m:rPr>
                <m:t>UV level</m:t>
              </m:r>
              <m:r>
                <m:t>&amp;</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i"/>
                          </m:rPr>
                          <m:t>High</m:t>
                        </m:r>
                      </m:e>
                      <m:e>
                        <m:r>
                          <m:t>U</m:t>
                        </m:r>
                        <m:r>
                          <m:rPr>
                            <m:sty m:val="p"/>
                          </m:rPr>
                          <m:t>&gt;</m:t>
                        </m:r>
                        <m:r>
                          <m:t>1000</m:t>
                        </m:r>
                        <m:r>
                          <m:t> </m:t>
                        </m:r>
                        <m:sSup>
                          <m:e>
                            <m:r>
                              <m:rPr>
                                <m:nor/>
                                <m:sty m:val="p"/>
                              </m:rPr>
                              <m:t>W/m</m:t>
                            </m:r>
                          </m:e>
                          <m:sup>
                            <m:r>
                              <m:t>2</m:t>
                            </m:r>
                          </m:sup>
                        </m:sSup>
                      </m:e>
                    </m:mr>
                    <m:mr>
                      <m:e>
                        <m:r>
                          <m:rPr>
                            <m:nor/>
                            <m:sty m:val="i"/>
                          </m:rPr>
                          <m:t>Optimal</m:t>
                        </m:r>
                      </m:e>
                      <m:e>
                        <m:r>
                          <m:rPr>
                            <m:nor/>
                            <m:sty m:val="p"/>
                          </m:rPr>
                          <m:t>otherwise</m:t>
                        </m:r>
                      </m:e>
                    </m:mr>
                  </m:m>
                </m:e>
              </m:d>
            </m:e>
            <m:e>
              <m:r>
                <m:rPr>
                  <m:nor/>
                  <m:sty m:val="p"/>
                </m:rPr>
                <m:t>Humidity level</m:t>
              </m:r>
              <m:r>
                <m:t>&amp;</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i"/>
                          </m:rPr>
                          <m:t>High</m:t>
                        </m:r>
                      </m:e>
                      <m:e>
                        <m:r>
                          <m:t>H</m:t>
                        </m:r>
                        <m:r>
                          <m:rPr>
                            <m:sty m:val="p"/>
                          </m:rPr>
                          <m:t>&lt;</m:t>
                        </m:r>
                        <m:r>
                          <m:t>40</m:t>
                        </m:r>
                        <m:r>
                          <m:rPr>
                            <m:sty m:val="p"/>
                          </m:rPr>
                          <m:t>%</m:t>
                        </m:r>
                        <m:r>
                          <m:t> </m:t>
                        </m:r>
                        <m:r>
                          <m:rPr>
                            <m:nor/>
                            <m:sty m:val="p"/>
                          </m:rPr>
                          <m:t>or</m:t>
                        </m:r>
                        <m:r>
                          <m:t> </m:t>
                        </m:r>
                        <m:r>
                          <m:t>H</m:t>
                        </m:r>
                        <m:r>
                          <m:rPr>
                            <m:sty m:val="p"/>
                          </m:rPr>
                          <m:t>&gt;</m:t>
                        </m:r>
                        <m:r>
                          <m:t>80</m:t>
                        </m:r>
                        <m:r>
                          <m:rPr>
                            <m:sty m:val="p"/>
                          </m:rPr>
                          <m:t>%</m:t>
                        </m:r>
                      </m:e>
                    </m:mr>
                    <m:mr>
                      <m:e>
                        <m:r>
                          <m:rPr>
                            <m:nor/>
                            <m:sty m:val="i"/>
                          </m:rPr>
                          <m:t>Optimal</m:t>
                        </m:r>
                      </m:e>
                      <m:e>
                        <m:r>
                          <m:rPr>
                            <m:nor/>
                            <m:sty m:val="p"/>
                          </m:rPr>
                          <m:t>otherwise</m:t>
                        </m:r>
                      </m:e>
                    </m:mr>
                  </m:m>
                </m:e>
              </m:d>
            </m:e>
            <m:e>
              <m:r>
                <m:rPr>
                  <m:nor/>
                  <m:sty m:val="p"/>
                </m:rPr>
                <m:t>Temperature level</m:t>
              </m:r>
              <m:r>
                <m:t>&amp;</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i"/>
                          </m:rPr>
                          <m:t>High</m:t>
                        </m:r>
                      </m:e>
                      <m:e>
                        <m:r>
                          <m:t>T</m:t>
                        </m:r>
                        <m:r>
                          <m:rPr>
                            <m:sty m:val="p"/>
                          </m:rPr>
                          <m:t>&gt;</m:t>
                        </m:r>
                        <m:sSup>
                          <m:e>
                            <m:r>
                              <m:t>35</m:t>
                            </m:r>
                          </m:e>
                          <m:sup>
                            <m:r>
                              <m:rPr>
                                <m:sty m:val="p"/>
                              </m:rPr>
                              <m:t>∘</m:t>
                            </m:r>
                          </m:sup>
                        </m:sSup>
                        <m:r>
                          <m:rPr>
                            <m:nor/>
                            <m:sty m:val="p"/>
                          </m:rPr>
                          <m:t>C</m:t>
                        </m:r>
                      </m:e>
                    </m:mr>
                    <m:mr>
                      <m:e>
                        <m:r>
                          <m:rPr>
                            <m:nor/>
                            <m:sty m:val="i"/>
                          </m:rPr>
                          <m:t>Optimal</m:t>
                        </m:r>
                      </m:e>
                      <m:e>
                        <m:r>
                          <m:rPr>
                            <m:nor/>
                            <m:sty m:val="p"/>
                          </m:rPr>
                          <m:t>otherwise</m:t>
                        </m:r>
                      </m:e>
                    </m:mr>
                  </m:m>
                </m:e>
              </m:d>
            </m:e>
          </m:eqArr>
        </m:oMath>
      </m:oMathPara>
    </w:p>
    <w:p>
      <w:pPr>
        <w:pStyle w:val="FirstParagraph"/>
      </w:pPr>
      <w:r>
        <w:t xml:space="preserve">The UV threshold of 1,000 W/m</w:t>
      </w:r>
      <m:oMath>
        <m:sSup>
          <m:e>
            <m:r>
              <m:t>​</m:t>
            </m:r>
          </m:e>
          <m:sup>
            <m:r>
              <m:t>2</m:t>
            </m:r>
          </m:sup>
        </m:sSup>
      </m:oMath>
      <w:r>
        <w:t xml:space="preserve"> </w:t>
      </w:r>
      <w:r>
        <w:t xml:space="preserve">corresponds approximately to peak</w:t>
      </w:r>
      <w:r>
        <w:t xml:space="preserve"> </w:t>
      </w:r>
      <w:r>
        <w:t xml:space="preserve">summer irradiance in Solapur district (typically June–August), a</w:t>
      </w:r>
      <w:r>
        <w:t xml:space="preserve"> </w:t>
      </w:r>
      <w:r>
        <w:t xml:space="preserve">condition known to accelerate Anthocyanin photodegradation in many</w:t>
      </w:r>
      <w:r>
        <w:t xml:space="preserve"> </w:t>
      </w:r>
      <w:r>
        <w:t xml:space="preserve">polyphenol-rich fruits (Sharma et al. 2017). The humidity range 40–80%</w:t>
      </w:r>
      <w:r>
        <w:t xml:space="preserve"> </w:t>
      </w:r>
      <w:r>
        <w:t xml:space="preserve">encompasses the cultivar’s optimal zone; both desiccation stress (below</w:t>
      </w:r>
      <w:r>
        <w:t xml:space="preserve"> </w:t>
      </w:r>
      <w:r>
        <w:t xml:space="preserve">40%) and fungal infection risk (above 80%) fall outside it. Active</w:t>
      </w:r>
      <w:r>
        <w:t xml:space="preserve"> </w:t>
      </w:r>
      <w:r>
        <w:t xml:space="preserve">stress factors are collected into a list</w:t>
      </w:r>
      <w:r>
        <w:t xml:space="preserve"> </w:t>
      </w:r>
      <w:r>
        <w:rPr>
          <w:rStyle w:val="VerbatimChar"/>
        </w:rPr>
        <w:t xml:space="preserve">stress_factors</w:t>
      </w:r>
      <w:r>
        <w:t xml:space="preserve"> </w:t>
      </w:r>
      <w:r>
        <w:t xml:space="preserve">that is passed</w:t>
      </w:r>
      <w:r>
        <w:t xml:space="preserve"> </w:t>
      </w:r>
      <w:r>
        <w:t xml:space="preserve">downstream to the Ontology Agent for rule evaluation. If all three</w:t>
      </w:r>
      <w:r>
        <w:t xml:space="preserve"> </w:t>
      </w:r>
      <w:r>
        <w:t xml:space="preserve">dimensions are Optimal, the system flags no stress and passes an empty</w:t>
      </w:r>
      <w:r>
        <w:t xml:space="preserve"> </w:t>
      </w:r>
      <w:r>
        <w:t xml:space="preserve">list—a condition that also suppresses the UV exacerbation rule from</w:t>
      </w:r>
      <w:r>
        <w:t xml:space="preserve"> </w:t>
      </w:r>
      <w:r>
        <w:t xml:space="preserve">firing.</w:t>
      </w:r>
    </w:p>
    <w:p>
      <w:pPr>
        <w:pStyle w:val="BodyText"/>
        <w:jc w:val="both"/>
      </w:pPr>
      <w:r>
        <w:rPr>
          <w:rFonts w:ascii="Times New Roman" w:hAnsi="Times New Roman"/>
          <w:sz w:val="20"/>
        </w:rPr>
        <w:t xml:space="preserve">The five-point categorical stress score used in earlier oral</w:t>
      </w:r>
      <w:r>
        <w:rPr>
          <w:rFonts w:ascii="Times New Roman" w:hAnsi="Times New Roman"/>
          <w:sz w:val="20"/>
        </w:rPr>
        <w:t xml:space="preserve"> </w:t>
      </w:r>
      <w:r>
        <w:rPr>
          <w:rFonts w:ascii="Times New Roman" w:hAnsi="Times New Roman"/>
          <w:sz w:val="20"/>
        </w:rPr>
        <w:t xml:space="preserve">presentations of this system has been refined in the current</w:t>
      </w:r>
      <w:r>
        <w:rPr>
          <w:rFonts w:ascii="Times New Roman" w:hAnsi="Times New Roman"/>
          <w:sz w:val="20"/>
        </w:rPr>
        <w:t xml:space="preserve"> </w:t>
      </w:r>
      <w:r>
        <w:rPr>
          <w:rFonts w:ascii="Times New Roman" w:hAnsi="Times New Roman"/>
          <w:sz w:val="20"/>
        </w:rPr>
        <w:t xml:space="preserve">implementation to a categorical three-factor list representation, which</w:t>
      </w:r>
      <w:r>
        <w:rPr>
          <w:rFonts w:ascii="Times New Roman" w:hAnsi="Times New Roman"/>
          <w:sz w:val="20"/>
        </w:rPr>
        <w:t xml:space="preserve"> </w:t>
      </w:r>
      <w:r>
        <w:rPr>
          <w:rFonts w:ascii="Times New Roman" w:hAnsi="Times New Roman"/>
          <w:sz w:val="20"/>
        </w:rPr>
        <w:t xml:space="preserve">is more directly interpretable by the rule engine without a calibration</w:t>
      </w:r>
      <w:r>
        <w:rPr>
          <w:rFonts w:ascii="Times New Roman" w:hAnsi="Times New Roman"/>
          <w:sz w:val="20"/>
        </w:rPr>
        <w:t xml:space="preserve"> </w:t>
      </w:r>
      <w:r>
        <w:rPr>
          <w:rFonts w:ascii="Times New Roman" w:hAnsi="Times New Roman"/>
          <w:sz w:val="20"/>
        </w:rPr>
        <w:t xml:space="preserve">step.</w:t>
      </w:r>
    </w:p>
    <w:bookmarkEnd w:id="19"/>
    <w:bookmarkStart w:id="20" w:name="sec:langgraph"/>
    <w:p>
      <w:pPr>
        <w:pStyle w:val="Heading2"/>
      </w:pPr>
      <w:r>
        <w:t xml:space="preserve">LangGraph Multi-Agent Orchestration</w:t>
      </w:r>
    </w:p>
    <w:p>
      <w:pPr>
        <w:pStyle w:val="FirstParagraph"/>
      </w:pPr>
      <w:r>
        <w:t xml:space="preserve">The orchestration layer uses LangGraph (LangChain Inc. 2024) to define a</w:t>
      </w:r>
      <w:r>
        <w:t xml:space="preserve"> </w:t>
      </w:r>
      <w:r>
        <w:t xml:space="preserve">directed StateGraph with four nodes:</w:t>
      </w:r>
      <w:r>
        <w:t xml:space="preserve"> </w:t>
      </w:r>
      <w:r>
        <w:rPr>
          <w:rStyle w:val="VerbatimChar"/>
        </w:rPr>
        <w:t xml:space="preserve">vision_node</w:t>
      </w:r>
      <w:r>
        <w:t xml:space="preserve">,</w:t>
      </w:r>
      <w:r>
        <w:t xml:space="preserve"> </w:t>
      </w:r>
      <w:r>
        <w:rPr>
          <w:rStyle w:val="VerbatimChar"/>
        </w:rPr>
        <w:t xml:space="preserve">env_node</w:t>
      </w:r>
      <w:r>
        <w:t xml:space="preserve">,</w:t>
      </w:r>
      <w:r>
        <w:t xml:space="preserve"> </w:t>
      </w:r>
      <w:r>
        <w:rPr>
          <w:rStyle w:val="VerbatimChar"/>
        </w:rPr>
        <w:t xml:space="preserve">ontology_node</w:t>
      </w:r>
      <w:r>
        <w:t xml:space="preserve">, and</w:t>
      </w:r>
      <w:r>
        <w:t xml:space="preserve"> </w:t>
      </w:r>
      <w:r>
        <w:rPr>
          <w:rStyle w:val="VerbatimChar"/>
        </w:rPr>
        <w:t xml:space="preserve">reporting_node</w:t>
      </w:r>
      <w:r>
        <w:t xml:space="preserve">. These nodes operate over a</w:t>
      </w:r>
      <w:r>
        <w:t xml:space="preserve"> </w:t>
      </w:r>
      <w:r>
        <w:t xml:space="preserve">shared, typed state schema</w:t>
      </w:r>
      <w:r>
        <w:t xml:space="preserve"> </w:t>
      </w:r>
      <m:oMath>
        <m:r>
          <m:rPr>
            <m:scr m:val="script"/>
            <m:sty m:val="p"/>
          </m:rPr>
          <m:t>S</m:t>
        </m:r>
      </m:oMath>
      <w:r>
        <w:t xml:space="preserve"> </w:t>
      </w:r>
      <w:r>
        <w:t xml:space="preserve">containing the following</w:t>
      </w:r>
      <w:r>
        <w:t xml:space="preserve"> </w:t>
      </w:r>
      <w:r>
        <w:t xml:space="preserve">fields:</w:t>
      </w:r>
    </w:p>
    <w:p>
      <w:pPr>
        <w:numPr>
          <w:ilvl w:val="0"/>
          <w:numId w:val="1003"/>
        </w:numPr>
        <w:jc w:val="both"/>
      </w:pPr>
      <w:r>
        <w:rPr>
          <w:rStyle w:val="VerbatimChar"/>
          <w:rFonts w:ascii="Times New Roman" w:hAnsi="Times New Roman"/>
          <w:sz w:val="20"/>
        </w:rPr>
        <w:t xml:space="preserve">image_path</w:t>
      </w:r>
      <w:r>
        <w:rPr>
          <w:rFonts w:ascii="Times New Roman" w:hAnsi="Times New Roman"/>
          <w:sz w:val="20"/>
        </w:rPr>
        <w:t xml:space="preserve">: string path to the uploaded fruit image.</w:t>
      </w:r>
    </w:p>
    <w:p>
      <w:pPr>
        <w:numPr>
          <w:ilvl w:val="0"/>
          <w:numId w:val="1003"/>
        </w:numPr>
        <w:jc w:val="both"/>
      </w:pPr>
      <w:r>
        <w:rPr>
          <w:rStyle w:val="VerbatimChar"/>
          <w:rFonts w:ascii="Times New Roman" w:hAnsi="Times New Roman"/>
          <w:sz w:val="20"/>
        </w:rPr>
        <w:t xml:space="preserve">disease</w:t>
      </w:r>
      <w:r>
        <w:rPr>
          <w:rFonts w:ascii="Times New Roman" w:hAnsi="Times New Roman"/>
          <w:sz w:val="20"/>
        </w:rPr>
        <w:t xml:space="preserve">: classified disease label</w:t>
      </w:r>
      <w:r>
        <w:rPr>
          <w:rFonts w:ascii="Times New Roman" w:hAnsi="Times New Roman"/>
          <w:sz w:val="20"/>
        </w:rPr>
        <w:t xml:space="preserve"> </w:t>
      </w:r>
      <m:oMath>
        <m:r>
          <m:t>d</m:t>
        </m:r>
        <m:r>
          <m:rPr>
            <m:sty m:val="p"/>
          </m:rPr>
          <m:t>∈</m:t>
        </m:r>
        <m:r>
          <m:rPr>
            <m:scr m:val="script"/>
            <m:sty m:val="p"/>
          </m:rPr>
          <m:t>D</m:t>
        </m:r>
      </m:oMath>
      <w:r>
        <w:rPr>
          <w:rFonts w:ascii="Times New Roman" w:hAnsi="Times New Roman"/>
          <w:sz w:val="20"/>
        </w:rPr>
        <w:t xml:space="preserve">.</w:t>
      </w:r>
    </w:p>
    <w:p>
      <w:pPr>
        <w:numPr>
          <w:ilvl w:val="0"/>
          <w:numId w:val="1003"/>
        </w:numPr>
        <w:jc w:val="both"/>
      </w:pPr>
      <w:r>
        <w:rPr>
          <w:rStyle w:val="VerbatimChar"/>
          <w:rFonts w:ascii="Times New Roman" w:hAnsi="Times New Roman"/>
          <w:sz w:val="20"/>
        </w:rPr>
        <w:t xml:space="preserve">severity</w:t>
      </w:r>
      <w:r>
        <w:rPr>
          <w:rFonts w:ascii="Times New Roman" w:hAnsi="Times New Roman"/>
          <w:sz w:val="20"/>
        </w:rPr>
        <w:t xml:space="preserve">: severity tier</w:t>
      </w:r>
      <w:r>
        <w:rPr>
          <w:rFonts w:ascii="Times New Roman" w:hAnsi="Times New Roman"/>
          <w:sz w:val="20"/>
        </w:rPr>
        <w:t xml:space="preserve"> </w:t>
      </w:r>
      <m:oMath>
        <m:r>
          <m:t>s</m:t>
        </m:r>
        <m:r>
          <m:rPr>
            <m:sty m:val="p"/>
          </m:rPr>
          <m:t>∈</m:t>
        </m:r>
        <m:r>
          <m:rPr>
            <m:sty m:val="p"/>
          </m:rPr>
          <m:t>{</m:t>
        </m:r>
        <m:r>
          <m:rPr>
            <m:nor/>
            <m:sty m:val="i"/>
          </m:rPr>
          <m:t>Mild</m:t>
        </m:r>
        <m:r>
          <m:rPr>
            <m:sty m:val="p"/>
          </m:rPr>
          <m:t>,</m:t>
        </m:r>
        <m:r>
          <m:rPr>
            <m:nor/>
            <m:sty m:val="i"/>
          </m:rPr>
          <m:t>Moderate</m:t>
        </m:r>
        <m:r>
          <m:rPr>
            <m:sty m:val="p"/>
          </m:rPr>
          <m:t>,</m:t>
        </m:r>
        <m:r>
          <m:rPr>
            <m:nor/>
            <m:sty m:val="i"/>
          </m:rPr>
          <m:t>Severe</m:t>
        </m:r>
        <m:r>
          <m:rPr>
            <m:sty m:val="p"/>
          </m:rPr>
          <m:t>}</m:t>
        </m:r>
      </m:oMath>
      <w:r>
        <w:rPr>
          <w:rFonts w:ascii="Times New Roman" w:hAnsi="Times New Roman"/>
          <w:sz w:val="20"/>
        </w:rPr>
        <w:t xml:space="preserve">.</w:t>
      </w:r>
    </w:p>
    <w:p>
      <w:pPr>
        <w:numPr>
          <w:ilvl w:val="0"/>
          <w:numId w:val="1003"/>
        </w:numPr>
        <w:jc w:val="both"/>
      </w:pPr>
      <w:r>
        <w:rPr>
          <w:rStyle w:val="VerbatimChar"/>
          <w:rFonts w:ascii="Times New Roman" w:hAnsi="Times New Roman"/>
          <w:sz w:val="20"/>
        </w:rPr>
        <w:t xml:space="preserve">confidence</w:t>
      </w:r>
      <w:r>
        <w:rPr>
          <w:rFonts w:ascii="Times New Roman" w:hAnsi="Times New Roman"/>
          <w:sz w:val="20"/>
        </w:rPr>
        <w:t xml:space="preserve">: inference confidence</w:t>
      </w:r>
      <w:r>
        <w:rPr>
          <w:rFonts w:ascii="Times New Roman" w:hAnsi="Times New Roman"/>
          <w:sz w:val="20"/>
        </w:rPr>
        <w:t xml:space="preserve"> </w:t>
      </w:r>
      <m:oMath>
        <m:r>
          <m:t>c</m:t>
        </m:r>
        <m:r>
          <m:rPr>
            <m:sty m:val="p"/>
          </m:rPr>
          <m:t>∈</m:t>
        </m:r>
        <m:r>
          <m:rPr>
            <m:sty m:val="p"/>
          </m:rPr>
          <m:t>[</m:t>
        </m:r>
        <m:r>
          <m:t>0</m:t>
        </m:r>
        <m:r>
          <m:rPr>
            <m:sty m:val="p"/>
          </m:rPr>
          <m:t>,</m:t>
        </m:r>
        <m:r>
          <m:t>1</m:t>
        </m:r>
        <m:r>
          <m:rPr>
            <m:sty m:val="p"/>
          </m:rPr>
          <m:t>]</m:t>
        </m:r>
      </m:oMath>
      <w:r>
        <w:rPr>
          <w:rFonts w:ascii="Times New Roman" w:hAnsi="Times New Roman"/>
          <w:sz w:val="20"/>
        </w:rPr>
        <w:t xml:space="preserve">.</w:t>
      </w:r>
    </w:p>
    <w:p>
      <w:pPr>
        <w:numPr>
          <w:ilvl w:val="0"/>
          <w:numId w:val="1003"/>
        </w:numPr>
        <w:jc w:val="both"/>
      </w:pPr>
      <w:r>
        <w:rPr>
          <w:rStyle w:val="VerbatimChar"/>
          <w:rFonts w:ascii="Times New Roman" w:hAnsi="Times New Roman"/>
          <w:sz w:val="20"/>
        </w:rPr>
        <w:t xml:space="preserve">env_payload</w:t>
      </w:r>
      <w:r>
        <w:rPr>
          <w:rFonts w:ascii="Times New Roman" w:hAnsi="Times New Roman"/>
          <w:sz w:val="20"/>
        </w:rPr>
        <w:t xml:space="preserve">: raw</w:t>
      </w:r>
      <w:r>
        <w:rPr>
          <w:rFonts w:ascii="Times New Roman" w:hAnsi="Times New Roman"/>
          <w:sz w:val="20"/>
        </w:rPr>
        <w:t xml:space="preserve"> </w:t>
      </w:r>
      <m:oMath>
        <m:r>
          <m:rPr>
            <m:sty m:val="p"/>
          </m:rPr>
          <m:t>(</m:t>
        </m:r>
        <m:r>
          <m:t>T</m:t>
        </m:r>
        <m:r>
          <m:rPr>
            <m:sty m:val="p"/>
          </m:rPr>
          <m:t>,</m:t>
        </m:r>
        <m:r>
          <m:t>H</m:t>
        </m:r>
        <m:r>
          <m:rPr>
            <m:sty m:val="p"/>
          </m:rPr>
          <m:t>,</m:t>
        </m:r>
        <m:r>
          <m:t>U</m:t>
        </m:r>
        <m:r>
          <m:rPr>
            <m:sty m:val="p"/>
          </m:rPr>
          <m:t>)</m:t>
        </m:r>
      </m:oMath>
      <w:r>
        <w:rPr>
          <w:rFonts w:ascii="Times New Roman" w:hAnsi="Times New Roman"/>
          <w:sz w:val="20"/>
        </w:rPr>
        <w:t xml:space="preserve"> </w:t>
      </w:r>
      <w:r>
        <w:rPr>
          <w:rFonts w:ascii="Times New Roman" w:hAnsi="Times New Roman"/>
          <w:sz w:val="20"/>
        </w:rPr>
        <w:t xml:space="preserve">readings.</w:t>
      </w:r>
    </w:p>
    <w:p>
      <w:pPr>
        <w:numPr>
          <w:ilvl w:val="0"/>
          <w:numId w:val="1003"/>
        </w:numPr>
        <w:jc w:val="both"/>
      </w:pPr>
      <w:r>
        <w:rPr>
          <w:rStyle w:val="VerbatimChar"/>
          <w:rFonts w:ascii="Times New Roman" w:hAnsi="Times New Roman"/>
          <w:sz w:val="20"/>
        </w:rPr>
        <w:t xml:space="preserve">stress_factors</w:t>
      </w:r>
      <w:r>
        <w:rPr>
          <w:rFonts w:ascii="Times New Roman" w:hAnsi="Times New Roman"/>
          <w:sz w:val="20"/>
        </w:rPr>
        <w:t xml:space="preserve">: list of active stress category strings.</w:t>
      </w:r>
    </w:p>
    <w:p>
      <w:pPr>
        <w:numPr>
          <w:ilvl w:val="0"/>
          <w:numId w:val="1003"/>
        </w:numPr>
        <w:jc w:val="both"/>
      </w:pPr>
      <w:r>
        <w:rPr>
          <w:rStyle w:val="VerbatimChar"/>
          <w:rFonts w:ascii="Times New Roman" w:hAnsi="Times New Roman"/>
          <w:sz w:val="20"/>
        </w:rPr>
        <w:t xml:space="preserve">phytochemical_scores</w:t>
      </w:r>
      <w:r>
        <w:rPr>
          <w:rFonts w:ascii="Times New Roman" w:hAnsi="Times New Roman"/>
          <w:sz w:val="20"/>
        </w:rPr>
        <w:t xml:space="preserve">: dict mapping</w:t>
      </w:r>
      <w:r>
        <w:rPr>
          <w:rFonts w:ascii="Times New Roman" w:hAnsi="Times New Roman"/>
          <w:sz w:val="20"/>
        </w:rPr>
        <w:t xml:space="preserve"> </w:t>
      </w:r>
      <m:oMath>
        <m:r>
          <m:t>p</m:t>
        </m:r>
        <m:r>
          <m:rPr>
            <m:sty m:val="p"/>
          </m:rPr>
          <m:t>∈</m:t>
        </m:r>
        <m:r>
          <m:rPr>
            <m:scr m:val="script"/>
            <m:sty m:val="p"/>
          </m:rPr>
          <m:t>P</m:t>
        </m:r>
      </m:oMath>
      <w:r>
        <w:rPr>
          <w:rFonts w:ascii="Times New Roman" w:hAnsi="Times New Roman"/>
          <w:sz w:val="20"/>
        </w:rPr>
        <w:t xml:space="preserve"> </w:t>
      </w:r>
      <w:r>
        <w:rPr>
          <w:rFonts w:ascii="Times New Roman" w:hAnsi="Times New Roman"/>
          <w:sz w:val="20"/>
        </w:rPr>
        <w:t xml:space="preserve">to</w:t>
      </w:r>
      <w:r>
        <w:rPr>
          <w:rFonts w:ascii="Times New Roman" w:hAnsi="Times New Roman"/>
          <w:sz w:val="20"/>
        </w:rPr>
        <w:t xml:space="preserve"> </w:t>
      </w:r>
      <m:oMath>
        <m:r>
          <m:rPr>
            <m:sty m:val="p"/>
          </m:rPr>
          <m:t>(</m:t>
        </m:r>
        <m:sSub>
          <m:e>
            <m:r>
              <m:t>δ</m:t>
            </m:r>
          </m:e>
          <m:sub>
            <m:r>
              <m:t>p</m:t>
            </m:r>
          </m:sub>
        </m:sSub>
        <m:r>
          <m:rPr>
            <m:sty m:val="p"/>
          </m:rPr>
          <m:t>,</m:t>
        </m:r>
        <m:sSub>
          <m:e>
            <m:r>
              <m:t>κ</m:t>
            </m:r>
          </m:e>
          <m:sub>
            <m:r>
              <m:t>p</m:t>
            </m:r>
          </m:sub>
        </m:sSub>
        <m:r>
          <m:rPr>
            <m:sty m:val="p"/>
          </m:rPr>
          <m:t>)</m:t>
        </m:r>
      </m:oMath>
      <w:r>
        <w:rPr>
          <w:rFonts w:ascii="Times New Roman" w:hAnsi="Times New Roman"/>
          <w:sz w:val="20"/>
        </w:rPr>
        <w:t xml:space="preserve">.</w:t>
      </w:r>
    </w:p>
    <w:p>
      <w:pPr>
        <w:numPr>
          <w:ilvl w:val="0"/>
          <w:numId w:val="1003"/>
        </w:numPr>
        <w:jc w:val="both"/>
      </w:pPr>
      <w:r>
        <w:rPr>
          <w:rStyle w:val="VerbatimChar"/>
          <w:rFonts w:ascii="Times New Roman" w:hAnsi="Times New Roman"/>
          <w:sz w:val="20"/>
        </w:rPr>
        <w:t xml:space="preserve">nutritional_score</w:t>
      </w:r>
      <w:r>
        <w:rPr>
          <w:rFonts w:ascii="Times New Roman" w:hAnsi="Times New Roman"/>
          <w:sz w:val="20"/>
        </w:rPr>
        <w:t xml:space="preserve">: final</w:t>
      </w:r>
      <w:r>
        <w:rPr>
          <w:rFonts w:ascii="Times New Roman" w:hAnsi="Times New Roman"/>
          <w:sz w:val="20"/>
        </w:rPr>
        <w:t xml:space="preserve"> </w:t>
      </w:r>
      <m:oMath>
        <m:r>
          <m:rPr>
            <m:scr m:val="script"/>
            <m:sty m:val="p"/>
          </m:rPr>
          <m:t>N</m:t>
        </m:r>
        <m:r>
          <m:rPr>
            <m:sty m:val="p"/>
          </m:rPr>
          <m:t>∈</m:t>
        </m:r>
        <m:r>
          <m:rPr>
            <m:sty m:val="p"/>
          </m:rPr>
          <m:t>[</m:t>
        </m:r>
        <m:r>
          <m:t>0</m:t>
        </m:r>
        <m:r>
          <m:rPr>
            <m:sty m:val="p"/>
          </m:rPr>
          <m:t>,</m:t>
        </m:r>
        <m:r>
          <m:t>100</m:t>
        </m:r>
        <m:r>
          <m:rPr>
            <m:sty m:val="p"/>
          </m:rPr>
          <m:t>]</m:t>
        </m:r>
      </m:oMath>
      <w:r>
        <w:rPr>
          <w:rFonts w:ascii="Times New Roman" w:hAnsi="Times New Roman"/>
          <w:sz w:val="20"/>
        </w:rPr>
        <w:t xml:space="preserve">.</w:t>
      </w:r>
    </w:p>
    <w:p>
      <w:pPr>
        <w:numPr>
          <w:ilvl w:val="0"/>
          <w:numId w:val="1003"/>
        </w:numPr>
        <w:jc w:val="both"/>
      </w:pPr>
      <w:r>
        <w:rPr>
          <w:rStyle w:val="VerbatimChar"/>
          <w:rFonts w:ascii="Times New Roman" w:hAnsi="Times New Roman"/>
          <w:sz w:val="20"/>
        </w:rPr>
        <w:t xml:space="preserve">report_url</w:t>
      </w:r>
      <w:r>
        <w:rPr>
          <w:rFonts w:ascii="Times New Roman" w:hAnsi="Times New Roman"/>
          <w:sz w:val="20"/>
        </w:rPr>
        <w:t xml:space="preserve">: URL of the generated PDF report.</w:t>
      </w:r>
    </w:p>
    <w:p>
      <w:pPr>
        <w:pStyle w:val="FirstParagraph"/>
      </w:pPr>
      <w:r>
        <w:t xml:space="preserve">Transitions between nodes follow a directed acyclic graph topology:</w:t>
      </w:r>
      <w:r>
        <w:t xml:space="preserve"> </w:t>
      </w:r>
      <w:r>
        <w:rPr>
          <w:rStyle w:val="VerbatimChar"/>
        </w:rPr>
        <w:t xml:space="preserve">vision_node</w:t>
      </w:r>
      <w:r>
        <w:t xml:space="preserve"> </w:t>
      </w:r>
      <m:oMath>
        <m:r>
          <m:rPr>
            <m:sty m:val="p"/>
          </m:rPr>
          <m:t>→</m:t>
        </m:r>
      </m:oMath>
      <w:r>
        <w:t xml:space="preserve"> </w:t>
      </w:r>
      <w:r>
        <w:rPr>
          <w:rStyle w:val="VerbatimChar"/>
        </w:rPr>
        <w:t xml:space="preserve">env_node</w:t>
      </w:r>
      <w:r>
        <w:t xml:space="preserve"> </w:t>
      </w:r>
      <m:oMath>
        <m:r>
          <m:rPr>
            <m:sty m:val="p"/>
          </m:rPr>
          <m:t>→</m:t>
        </m:r>
      </m:oMath>
      <w:r>
        <w:t xml:space="preserve"> </w:t>
      </w:r>
      <w:r>
        <w:rPr>
          <w:rStyle w:val="VerbatimChar"/>
        </w:rPr>
        <w:t xml:space="preserve">ontology_node</w:t>
      </w:r>
      <w:r>
        <w:t xml:space="preserve"> </w:t>
      </w:r>
      <m:oMath>
        <m:r>
          <m:rPr>
            <m:sty m:val="p"/>
          </m:rPr>
          <m:t>→</m:t>
        </m:r>
      </m:oMath>
      <w:r>
        <w:t xml:space="preserve"> </w:t>
      </w:r>
      <w:r>
        <w:rPr>
          <w:rStyle w:val="VerbatimChar"/>
        </w:rPr>
        <w:t xml:space="preserve">reporting_node</w:t>
      </w:r>
      <w:r>
        <w:t xml:space="preserve">, with an additional conditional edge from</w:t>
      </w:r>
      <w:r>
        <w:t xml:space="preserve"> </w:t>
      </w:r>
      <w:r>
        <w:rPr>
          <w:rStyle w:val="VerbatimChar"/>
        </w:rPr>
        <w:t xml:space="preserve">env_node</w:t>
      </w:r>
      <w:r>
        <w:t xml:space="preserve"> </w:t>
      </w:r>
      <w:r>
        <w:t xml:space="preserve">directly to</w:t>
      </w:r>
      <w:r>
        <w:t xml:space="preserve"> </w:t>
      </w:r>
      <w:r>
        <w:rPr>
          <w:rStyle w:val="VerbatimChar"/>
        </w:rPr>
        <w:t xml:space="preserve">reporting_node</w:t>
      </w:r>
      <w:r>
        <w:t xml:space="preserve"> </w:t>
      </w:r>
      <w:r>
        <w:t xml:space="preserve">when</w:t>
      </w:r>
      <w:r>
        <w:t xml:space="preserve"> </w:t>
      </w:r>
      <m:oMath>
        <m:r>
          <m:t>d</m:t>
        </m:r>
        <m:r>
          <m:rPr>
            <m:sty m:val="p"/>
          </m:rPr>
          <m:t>=</m:t>
        </m:r>
        <m:r>
          <m:rPr>
            <m:nor/>
            <m:sty m:val="i"/>
          </m:rPr>
          <m:t>Healthy</m:t>
        </m:r>
      </m:oMath>
      <w:r>
        <w:t xml:space="preserve">. This bypass</w:t>
      </w:r>
      <w:r>
        <w:t xml:space="preserve"> </w:t>
      </w:r>
      <w:r>
        <w:t xml:space="preserve">route avoids the computational cost of ontology inference in cases where</w:t>
      </w:r>
      <w:r>
        <w:t xml:space="preserve"> </w:t>
      </w:r>
      <w:r>
        <w:t xml:space="preserve">no phytochemical degradation is expected, which is consistent with</w:t>
      </w:r>
      <w:r>
        <w:t xml:space="preserve"> </w:t>
      </w:r>
      <w:r>
        <w:t xml:space="preserve">treating Healthy as the null hypothesis of the degradation model.</w:t>
      </w:r>
    </w:p>
    <w:p>
      <w:pPr>
        <w:pStyle w:val="BodyText"/>
        <w:jc w:val="both"/>
      </w:pPr>
      <w:r>
        <w:rPr>
          <w:rFonts w:ascii="Times New Roman" w:hAnsi="Times New Roman"/>
          <w:sz w:val="20"/>
        </w:rPr>
        <w:t xml:space="preserve">The LangGraph checkpoint mechanism persists the full state schema to</w:t>
      </w:r>
      <w:r>
        <w:rPr>
          <w:rFonts w:ascii="Times New Roman" w:hAnsi="Times New Roman"/>
          <w:sz w:val="20"/>
        </w:rPr>
        <w:t xml:space="preserve"> </w:t>
      </w:r>
      <w:r>
        <w:rPr>
          <w:rFonts w:ascii="Times New Roman" w:hAnsi="Times New Roman"/>
          <w:sz w:val="20"/>
        </w:rPr>
        <w:t xml:space="preserve">durable storage at each node transition. If any node fails—due to</w:t>
      </w:r>
      <w:r>
        <w:rPr>
          <w:rFonts w:ascii="Times New Roman" w:hAnsi="Times New Roman"/>
          <w:sz w:val="20"/>
        </w:rPr>
        <w:t xml:space="preserve"> </w:t>
      </w:r>
      <w:r>
        <w:rPr>
          <w:rFonts w:ascii="Times New Roman" w:hAnsi="Times New Roman"/>
          <w:sz w:val="20"/>
        </w:rPr>
        <w:t xml:space="preserve">model loading error, network timeout, or ontology parsing exception—</w:t>
      </w:r>
      <w:r>
        <w:rPr>
          <w:rFonts w:ascii="Times New Roman" w:hAnsi="Times New Roman"/>
          <w:sz w:val="20"/>
        </w:rPr>
        <w:t xml:space="preserve"> </w:t>
      </w:r>
      <w:r>
        <w:rPr>
          <w:rFonts w:ascii="Times New Roman" w:hAnsi="Times New Roman"/>
          <w:sz w:val="20"/>
        </w:rPr>
        <w:t xml:space="preserve">the graph resumes from the last persisted checkpoint rather than</w:t>
      </w:r>
      <w:r>
        <w:rPr>
          <w:rFonts w:ascii="Times New Roman" w:hAnsi="Times New Roman"/>
          <w:sz w:val="20"/>
        </w:rPr>
        <w:t xml:space="preserve"> </w:t>
      </w:r>
      <w:r>
        <w:rPr>
          <w:rFonts w:ascii="Times New Roman" w:hAnsi="Times New Roman"/>
          <w:sz w:val="20"/>
        </w:rPr>
        <w:t xml:space="preserve">retrying the entire pipeline. In field deployment contexts where network</w:t>
      </w:r>
      <w:r>
        <w:rPr>
          <w:rFonts w:ascii="Times New Roman" w:hAnsi="Times New Roman"/>
          <w:sz w:val="20"/>
        </w:rPr>
        <w:t xml:space="preserve"> </w:t>
      </w:r>
      <w:r>
        <w:rPr>
          <w:rFonts w:ascii="Times New Roman" w:hAnsi="Times New Roman"/>
          <w:sz w:val="20"/>
        </w:rPr>
        <w:t xml:space="preserve">connectivity between edge client and inference server may be</w:t>
      </w:r>
      <w:r>
        <w:rPr>
          <w:rFonts w:ascii="Times New Roman" w:hAnsi="Times New Roman"/>
          <w:sz w:val="20"/>
        </w:rPr>
        <w:t xml:space="preserve"> </w:t>
      </w:r>
      <w:r>
        <w:rPr>
          <w:rFonts w:ascii="Times New Roman" w:hAnsi="Times New Roman"/>
          <w:sz w:val="20"/>
        </w:rPr>
        <w:t xml:space="preserve">intermittent, this checkpoint-based recovery is not a theoretical</w:t>
      </w:r>
      <w:r>
        <w:rPr>
          <w:rFonts w:ascii="Times New Roman" w:hAnsi="Times New Roman"/>
          <w:sz w:val="20"/>
        </w:rPr>
        <w:t xml:space="preserve"> </w:t>
      </w:r>
      <w:r>
        <w:rPr>
          <w:rFonts w:ascii="Times New Roman" w:hAnsi="Times New Roman"/>
          <w:sz w:val="20"/>
        </w:rPr>
        <w:t xml:space="preserve">nicety: it is the difference between a failed and a completed analysis.</w:t>
      </w:r>
    </w:p>
    <w:p>
      <w:pPr>
        <w:pStyle w:val="BodyText"/>
        <w:jc w:val="both"/>
      </w:pPr>
      <w:r>
        <w:rPr>
          <w:rFonts w:ascii="Times New Roman" w:hAnsi="Times New Roman"/>
          <w:sz w:val="20"/>
        </w:rPr>
        <w:t xml:space="preserve">Algorithm </w:t>
      </w:r>
      <w:hyperlink w:anchor="alg:langgraph">
        <w:r>
          <w:rPr>
            <w:rStyle w:val="Hyperlink"/>
          </w:rPr>
          <w:t xml:space="preserve">[alg:langgraph]</w:t>
        </w:r>
      </w:hyperlink>
      <w:r>
        <w:rPr>
          <w:rFonts w:ascii="Times New Roman" w:hAnsi="Times New Roman"/>
          <w:sz w:val="20"/>
        </w:rPr>
        <w:t xml:space="preserve"> </w:t>
      </w:r>
      <w:r>
        <w:rPr>
          <w:rFonts w:ascii="Times New Roman" w:hAnsi="Times New Roman"/>
          <w:sz w:val="20"/>
        </w:rPr>
        <w:t xml:space="preserve">summarises the StateGraph execution flow.</w:t>
      </w:r>
    </w:p>
    <w:p>
      <w:pPr>
        <w:pStyle w:val="BodyText"/>
        <w:jc w:val="both"/>
      </w:pPr>
      <w:r>
        <w:rPr>
          <w:rFonts w:ascii="Times New Roman" w:hAnsi="Times New Roman"/>
          <w:sz w:val="20"/>
        </w:rPr>
        <w:t xml:space="preserve">Image</w:t>
      </w:r>
      <w:r>
        <w:rPr>
          <w:rFonts w:ascii="Times New Roman" w:hAnsi="Times New Roman"/>
          <w:sz w:val="20"/>
        </w:rPr>
        <w:t xml:space="preserve"> </w:t>
      </w:r>
      <m:oMath>
        <m:r>
          <m:t>I</m:t>
        </m:r>
      </m:oMath>
      <w:r>
        <w:rPr>
          <w:rFonts w:ascii="Times New Roman" w:hAnsi="Times New Roman"/>
          <w:sz w:val="20"/>
        </w:rPr>
        <w:t xml:space="preserve">, environmental readings</w:t>
      </w:r>
      <w:r>
        <w:rPr>
          <w:rFonts w:ascii="Times New Roman" w:hAnsi="Times New Roman"/>
          <w:sz w:val="20"/>
        </w:rPr>
        <w:t xml:space="preserve"> </w:t>
      </w:r>
      <m:oMath>
        <m:r>
          <m:rPr>
            <m:sty m:val="p"/>
          </m:rPr>
          <m:t>(</m:t>
        </m:r>
        <m:r>
          <m:t>T</m:t>
        </m:r>
        <m:r>
          <m:rPr>
            <m:sty m:val="p"/>
          </m:rPr>
          <m:t>,</m:t>
        </m:r>
        <m:r>
          <m:t>H</m:t>
        </m:r>
        <m:r>
          <m:rPr>
            <m:sty m:val="p"/>
          </m:rPr>
          <m:t>,</m:t>
        </m:r>
        <m:r>
          <m:t>U</m:t>
        </m:r>
        <m:r>
          <m:rPr>
            <m:sty m:val="p"/>
          </m:rPr>
          <m:t>)</m:t>
        </m:r>
      </m:oMath>
      <w:r>
        <w:rPr>
          <w:rFonts w:ascii="Times New Roman" w:hAnsi="Times New Roman"/>
          <w:sz w:val="20"/>
        </w:rPr>
        <w:t xml:space="preserve"> </w:t>
      </w:r>
      <w:r>
        <w:rPr>
          <w:rFonts w:ascii="Times New Roman" w:hAnsi="Times New Roman"/>
          <w:sz w:val="20"/>
        </w:rPr>
        <w:t xml:space="preserve">Nutritional scorecard</w:t>
      </w:r>
      <w:r>
        <w:rPr>
          <w:rFonts w:ascii="Times New Roman" w:hAnsi="Times New Roman"/>
          <w:sz w:val="20"/>
        </w:rPr>
        <w:t xml:space="preserve"> </w:t>
      </w:r>
      <m:oMath>
        <m:r>
          <m:rPr>
            <m:sty m:val="p"/>
          </m:rPr>
          <m:t>(</m:t>
        </m:r>
        <m:r>
          <m:rPr>
            <m:scr m:val="script"/>
            <m:sty m:val="p"/>
          </m:rPr>
          <m:t>N</m:t>
        </m:r>
        <m:r>
          <m:rPr>
            <m:sty m:val="p"/>
          </m:rPr>
          <m:t>,</m:t>
        </m:r>
        <m:r>
          <m:rPr>
            <m:sty m:val="p"/>
          </m:rPr>
          <m:t>{</m:t>
        </m:r>
        <m:r>
          <m:rPr>
            <m:sty m:val="p"/>
          </m:rPr>
          <m:t>(</m:t>
        </m:r>
        <m:sSub>
          <m:e>
            <m:r>
              <m:t>δ</m:t>
            </m:r>
          </m:e>
          <m:sub>
            <m:r>
              <m:t>p</m:t>
            </m:r>
          </m:sub>
        </m:sSub>
        <m:r>
          <m:rPr>
            <m:sty m:val="p"/>
          </m:rPr>
          <m:t>,</m:t>
        </m:r>
        <m:sSub>
          <m:e>
            <m:r>
              <m:t>κ</m:t>
            </m:r>
          </m:e>
          <m:sub>
            <m:r>
              <m:t>p</m:t>
            </m:r>
          </m:sub>
        </m:sSub>
        <m:r>
          <m:rPr>
            <m:sty m:val="p"/>
          </m:rPr>
          <m:t>)</m:t>
        </m:r>
        <m:sSub>
          <m:e>
            <m:r>
              <m:rPr>
                <m:sty m:val="p"/>
              </m:rPr>
              <m:t>}</m:t>
            </m:r>
          </m:e>
          <m:sub>
            <m:r>
              <m:t>p</m:t>
            </m:r>
            <m:r>
              <m:rPr>
                <m:sty m:val="p"/>
              </m:rPr>
              <m:t>∈</m:t>
            </m:r>
            <m:r>
              <m:rPr>
                <m:scr m:val="script"/>
                <m:sty m:val="p"/>
              </m:rPr>
              <m:t>P</m:t>
            </m:r>
          </m:sub>
        </m:sSub>
        <m:r>
          <m:rPr>
            <m:sty m:val="p"/>
          </m:rPr>
          <m:t>)</m:t>
        </m:r>
      </m:oMath>
      <w:r>
        <w:rPr>
          <w:rFonts w:ascii="Times New Roman" w:hAnsi="Times New Roman"/>
          <w:sz w:val="20"/>
        </w:rPr>
        <w:t xml:space="preserve"> </w:t>
      </w:r>
      <w:r>
        <w:rPr>
          <w:rFonts w:ascii="Times New Roman" w:hAnsi="Times New Roman"/>
          <w:sz w:val="20"/>
        </w:rPr>
        <w:t xml:space="preserve">Load state</w:t>
      </w:r>
      <w:r>
        <w:rPr>
          <w:rFonts w:ascii="Times New Roman" w:hAnsi="Times New Roman"/>
          <w:sz w:val="20"/>
        </w:rPr>
        <w:t xml:space="preserve"> </w:t>
      </w:r>
      <m:oMath>
        <m:r>
          <m:rPr>
            <m:scr m:val="script"/>
            <m:sty m:val="p"/>
          </m:rPr>
          <m:t>S</m:t>
        </m:r>
      </m:oMath>
      <w:r>
        <w:rPr>
          <w:rFonts w:ascii="Times New Roman" w:hAnsi="Times New Roman"/>
          <w:sz w:val="20"/>
        </w:rPr>
        <w:t xml:space="preserve"> </w:t>
      </w:r>
      <w:r>
        <w:rPr>
          <w:rFonts w:ascii="Times New Roman" w:hAnsi="Times New Roman"/>
          <w:sz w:val="20"/>
        </w:rPr>
        <w:t xml:space="preserve">from checkpoint (if exists); else initialise</w:t>
      </w:r>
      <w:r>
        <w:rPr>
          <w:rFonts w:ascii="Times New Roman" w:hAnsi="Times New Roman"/>
          <w:sz w:val="20"/>
        </w:rPr>
        <w:t xml:space="preserve"> </w:t>
      </w:r>
      <m:oMath>
        <m:r>
          <m:rPr>
            <m:scr m:val="script"/>
            <m:sty m:val="p"/>
          </m:rPr>
          <m:t>S</m:t>
        </m:r>
      </m:oMath>
      <w:r>
        <w:rPr>
          <w:rFonts w:ascii="Times New Roman" w:hAnsi="Times New Roman"/>
          <w:sz w:val="20"/>
        </w:rPr>
        <w:t xml:space="preserve"> </w:t>
      </w:r>
      <w:r>
        <w:rPr>
          <w:b/>
          <w:bCs/>
        </w:rPr>
        <w:t xml:space="preserve">VisionNode:</w:t>
      </w:r>
      <w:r>
        <w:rPr>
          <w:rFonts w:ascii="Times New Roman" w:hAnsi="Times New Roman"/>
          <w:sz w:val="20"/>
        </w:rPr>
        <w:t xml:space="preserve"> </w:t>
      </w:r>
      <m:oMath>
        <m:r>
          <m:rPr>
            <m:sty m:val="p"/>
          </m:rPr>
          <m:t>(</m:t>
        </m:r>
        <m:r>
          <m:t>d</m:t>
        </m:r>
        <m:r>
          <m:rPr>
            <m:sty m:val="p"/>
          </m:rPr>
          <m:t>,</m:t>
        </m:r>
        <m:r>
          <m:t>s</m:t>
        </m:r>
        <m:r>
          <m:rPr>
            <m:sty m:val="p"/>
          </m:rPr>
          <m:t>,</m:t>
        </m:r>
        <m:r>
          <m:t>c</m:t>
        </m:r>
        <m:r>
          <m:rPr>
            <m:sty m:val="p"/>
          </m:rPr>
          <m:t>)</m:t>
        </m:r>
        <m:r>
          <m:rPr>
            <m:sty m:val="p"/>
          </m:rPr>
          <m:t>←</m:t>
        </m:r>
        <m:sSub>
          <m:e>
            <m:r>
              <m:t>f</m:t>
            </m:r>
          </m:e>
          <m:sub>
            <m:r>
              <m:t>θ</m:t>
            </m:r>
          </m:sub>
        </m:sSub>
        <m:r>
          <m:rPr>
            <m:sty m:val="p"/>
          </m:rPr>
          <m:t>(</m:t>
        </m:r>
        <m:r>
          <m:t>I</m:t>
        </m:r>
        <m:r>
          <m:rPr>
            <m:sty m:val="p"/>
          </m:rPr>
          <m:t>)</m:t>
        </m:r>
      </m:oMath>
      <w:r>
        <w:rPr>
          <w:rFonts w:ascii="Times New Roman" w:hAnsi="Times New Roman"/>
          <w:sz w:val="20"/>
        </w:rPr>
        <w:t xml:space="preserve">; update</w:t>
      </w:r>
      <w:r>
        <w:rPr>
          <w:rFonts w:ascii="Times New Roman" w:hAnsi="Times New Roman"/>
          <w:sz w:val="20"/>
        </w:rPr>
        <w:t xml:space="preserve"> </w:t>
      </w:r>
      <m:oMath>
        <m:r>
          <m:rPr>
            <m:scr m:val="script"/>
            <m:sty m:val="p"/>
          </m:rPr>
          <m:t>S</m:t>
        </m:r>
      </m:oMath>
      <w:r>
        <w:rPr>
          <w:rFonts w:ascii="Times New Roman" w:hAnsi="Times New Roman"/>
          <w:sz w:val="20"/>
        </w:rPr>
        <w:t xml:space="preserve">; checkpoint</w:t>
      </w:r>
      <w:r>
        <w:rPr>
          <w:rFonts w:ascii="Times New Roman" w:hAnsi="Times New Roman"/>
          <w:sz w:val="20"/>
        </w:rPr>
        <w:t xml:space="preserve"> </w:t>
      </w:r>
      <w:r>
        <w:rPr>
          <w:b/>
          <w:bCs/>
        </w:rPr>
        <w:t xml:space="preserve">EnvNode:</w:t>
      </w:r>
      <w:r>
        <w:rPr>
          <w:rFonts w:ascii="Times New Roman" w:hAnsi="Times New Roman"/>
          <w:sz w:val="20"/>
        </w:rPr>
        <w:t xml:space="preserve"> </w:t>
      </w:r>
      <m:oMath>
        <m:r>
          <m:rPr>
            <m:nor/>
            <m:sty m:val="i"/>
          </m:rPr>
          <m:t>stress_factors</m:t>
        </m:r>
        <m:r>
          <m:rPr>
            <m:sty m:val="p"/>
          </m:rPr>
          <m:t>←</m:t>
        </m:r>
        <m:r>
          <m:rPr>
            <m:nor/>
            <m:sty m:val="p"/>
          </m:rPr>
          <m:t>classify</m:t>
        </m:r>
        <m:r>
          <m:rPr>
            <m:sty m:val="p"/>
          </m:rPr>
          <m:t>(</m:t>
        </m:r>
        <m:r>
          <m:t>T</m:t>
        </m:r>
        <m:r>
          <m:rPr>
            <m:sty m:val="p"/>
          </m:rPr>
          <m:t>,</m:t>
        </m:r>
        <m:r>
          <m:t>H</m:t>
        </m:r>
        <m:r>
          <m:rPr>
            <m:sty m:val="p"/>
          </m:rPr>
          <m:t>,</m:t>
        </m:r>
        <m:r>
          <m:t>U</m:t>
        </m:r>
        <m:r>
          <m:rPr>
            <m:sty m:val="p"/>
          </m:rPr>
          <m:t>)</m:t>
        </m:r>
      </m:oMath>
      <w:r>
        <w:rPr>
          <w:rFonts w:ascii="Times New Roman" w:hAnsi="Times New Roman"/>
          <w:sz w:val="20"/>
        </w:rPr>
        <w:t xml:space="preserve">; update</w:t>
      </w:r>
      <w:r>
        <w:rPr>
          <w:rFonts w:ascii="Times New Roman" w:hAnsi="Times New Roman"/>
          <w:sz w:val="20"/>
        </w:rPr>
        <w:t xml:space="preserve"> </w:t>
      </w:r>
      <m:oMath>
        <m:r>
          <m:rPr>
            <m:scr m:val="script"/>
            <m:sty m:val="p"/>
          </m:rPr>
          <m:t>S</m:t>
        </m:r>
      </m:oMath>
      <w:r>
        <w:rPr>
          <w:rFonts w:ascii="Times New Roman" w:hAnsi="Times New Roman"/>
          <w:sz w:val="20"/>
        </w:rPr>
        <w:t xml:space="preserve">; checkpoint Set all</w:t>
      </w:r>
      <w:r>
        <w:rPr>
          <w:rFonts w:ascii="Times New Roman" w:hAnsi="Times New Roman"/>
          <w:sz w:val="20"/>
        </w:rPr>
        <w:t xml:space="preserve"> </w:t>
      </w:r>
      <m:oMath>
        <m:sSub>
          <m:e>
            <m:r>
              <m:t>δ</m:t>
            </m:r>
          </m:e>
          <m:sub>
            <m:r>
              <m:t>p</m:t>
            </m:r>
          </m:sub>
        </m:sSub>
        <m:r>
          <m:rPr>
            <m:sty m:val="p"/>
          </m:rPr>
          <m:t>←</m:t>
        </m:r>
        <m:r>
          <m:t>0</m:t>
        </m:r>
      </m:oMath>
      <w:r>
        <w:rPr>
          <w:rFonts w:ascii="Times New Roman" w:hAnsi="Times New Roman"/>
          <w:sz w:val="20"/>
        </w:rPr>
        <w:t xml:space="preserve">,</w:t>
      </w:r>
      <w:r>
        <w:rPr>
          <w:rFonts w:ascii="Times New Roman" w:hAnsi="Times New Roman"/>
          <w:sz w:val="20"/>
        </w:rPr>
        <w:t xml:space="preserve"> </w:t>
      </w:r>
      <m:oMath>
        <m:sSub>
          <m:e>
            <m:r>
              <m:t>κ</m:t>
            </m:r>
          </m:e>
          <m:sub>
            <m:r>
              <m:t>p</m:t>
            </m:r>
          </m:sub>
        </m:sSub>
        <m:r>
          <m:rPr>
            <m:sty m:val="p"/>
          </m:rPr>
          <m:t>←</m:t>
        </m:r>
        <m:r>
          <m:t>1.0</m:t>
        </m:r>
      </m:oMath>
      <w:r>
        <w:rPr>
          <w:rFonts w:ascii="Times New Roman" w:hAnsi="Times New Roman"/>
          <w:sz w:val="20"/>
        </w:rPr>
        <w:t xml:space="preserve">; route to ReportingNode</w:t>
      </w:r>
      <w:r>
        <w:rPr>
          <w:rFonts w:ascii="Times New Roman" w:hAnsi="Times New Roman"/>
          <w:sz w:val="20"/>
        </w:rPr>
        <w:t xml:space="preserve"> </w:t>
      </w:r>
      <w:r>
        <w:rPr>
          <w:b/>
          <w:bCs/>
        </w:rPr>
        <w:t xml:space="preserve">OntologyNode:</w:t>
      </w:r>
      <w:r>
        <w:rPr>
          <w:rFonts w:ascii="Times New Roman" w:hAnsi="Times New Roman"/>
          <w:sz w:val="20"/>
        </w:rPr>
        <w:t xml:space="preserve"> </w:t>
      </w:r>
      <w:r>
        <w:rPr>
          <w:rFonts w:ascii="Times New Roman" w:hAnsi="Times New Roman"/>
          <w:sz w:val="20"/>
        </w:rPr>
        <w:t xml:space="preserve">look</w:t>
      </w:r>
      <w:r>
        <w:rPr>
          <w:rFonts w:ascii="Times New Roman" w:hAnsi="Times New Roman"/>
          <w:sz w:val="20"/>
        </w:rPr>
        <w:t xml:space="preserve"> </w:t>
      </w:r>
      <w:r>
        <w:rPr>
          <w:rFonts w:ascii="Times New Roman" w:hAnsi="Times New Roman"/>
          <w:sz w:val="20"/>
        </w:rPr>
        <w:t xml:space="preserve">up degradation rules for</w:t>
      </w:r>
      <w:r>
        <w:rPr>
          <w:rFonts w:ascii="Times New Roman" w:hAnsi="Times New Roman"/>
          <w:sz w:val="20"/>
        </w:rPr>
        <w:t xml:space="preserve"> </w:t>
      </w:r>
      <m:oMath>
        <m:r>
          <m:rPr>
            <m:sty m:val="p"/>
          </m:rPr>
          <m:t>(</m:t>
        </m:r>
        <m:r>
          <m:t>d</m:t>
        </m:r>
        <m:r>
          <m:rPr>
            <m:sty m:val="p"/>
          </m:rPr>
          <m:t>,</m:t>
        </m:r>
        <m:r>
          <m:t>s</m:t>
        </m:r>
        <m:r>
          <m:rPr>
            <m:sty m:val="p"/>
          </m:rPr>
          <m:t>,</m:t>
        </m:r>
        <m:r>
          <m:rPr>
            <m:nor/>
            <m:sty m:val="i"/>
          </m:rPr>
          <m:t>stress_factors</m:t>
        </m:r>
        <m:r>
          <m:rPr>
            <m:sty m:val="p"/>
          </m:rPr>
          <m:t>)</m:t>
        </m:r>
      </m:oMath>
      <w:r>
        <w:rPr>
          <w:rFonts w:ascii="Times New Roman" w:hAnsi="Times New Roman"/>
          <w:sz w:val="20"/>
        </w:rPr>
        <w:t xml:space="preserve"> </w:t>
      </w:r>
      <w:r>
        <w:rPr>
          <w:rFonts w:ascii="Times New Roman" w:hAnsi="Times New Roman"/>
          <w:sz w:val="20"/>
        </w:rPr>
        <w:t xml:space="preserve">Compute</w:t>
      </w:r>
      <w:r>
        <w:rPr>
          <w:rFonts w:ascii="Times New Roman" w:hAnsi="Times New Roman"/>
          <w:sz w:val="20"/>
        </w:rPr>
        <w:t xml:space="preserve"> </w:t>
      </w:r>
      <m:oMath>
        <m:sSub>
          <m:e>
            <m:r>
              <m:t>δ</m:t>
            </m:r>
          </m:e>
          <m:sub>
            <m:r>
              <m:t>p</m:t>
            </m:r>
          </m:sub>
        </m:sSub>
      </m:oMath>
      <w:r>
        <w:rPr>
          <w:rFonts w:ascii="Times New Roman" w:hAnsi="Times New Roman"/>
          <w:sz w:val="20"/>
        </w:rPr>
        <w:t xml:space="preserve"> </w:t>
      </w:r>
      <w:r>
        <w:rPr>
          <w:rFonts w:ascii="Times New Roman" w:hAnsi="Times New Roman"/>
          <w:sz w:val="20"/>
        </w:rPr>
        <w:t xml:space="preserve">for all</w:t>
      </w:r>
      <w:r>
        <w:rPr>
          <w:rFonts w:ascii="Times New Roman" w:hAnsi="Times New Roman"/>
          <w:sz w:val="20"/>
        </w:rPr>
        <w:t xml:space="preserve"> </w:t>
      </w:r>
      <m:oMath>
        <m:r>
          <m:t>p</m:t>
        </m:r>
        <m:r>
          <m:rPr>
            <m:sty m:val="p"/>
          </m:rPr>
          <m:t>∈</m:t>
        </m:r>
        <m:r>
          <m:rPr>
            <m:scr m:val="script"/>
            <m:sty m:val="p"/>
          </m:rPr>
          <m:t>P</m:t>
        </m:r>
      </m:oMath>
      <w:r>
        <w:rPr>
          <w:rFonts w:ascii="Times New Roman" w:hAnsi="Times New Roman"/>
          <w:sz w:val="20"/>
        </w:rPr>
        <w:t xml:space="preserve">; compute</w:t>
      </w:r>
      <w:r>
        <w:rPr>
          <w:rFonts w:ascii="Times New Roman" w:hAnsi="Times New Roman"/>
          <w:sz w:val="20"/>
        </w:rPr>
        <w:t xml:space="preserve"> </w:t>
      </w:r>
      <m:oMath>
        <m:r>
          <m:rPr>
            <m:scr m:val="script"/>
            <m:sty m:val="p"/>
          </m:rPr>
          <m:t>N</m:t>
        </m:r>
      </m:oMath>
      <w:r>
        <w:rPr>
          <w:rFonts w:ascii="Times New Roman" w:hAnsi="Times New Roman"/>
          <w:sz w:val="20"/>
        </w:rPr>
        <w:t xml:space="preserve">; update</w:t>
      </w:r>
      <w:r>
        <w:rPr>
          <w:rFonts w:ascii="Times New Roman" w:hAnsi="Times New Roman"/>
          <w:sz w:val="20"/>
        </w:rPr>
        <w:t xml:space="preserve"> </w:t>
      </w:r>
      <m:oMath>
        <m:r>
          <m:rPr>
            <m:scr m:val="script"/>
            <m:sty m:val="p"/>
          </m:rPr>
          <m:t>S</m:t>
        </m:r>
      </m:oMath>
      <w:r>
        <w:rPr>
          <w:rFonts w:ascii="Times New Roman" w:hAnsi="Times New Roman"/>
          <w:sz w:val="20"/>
        </w:rPr>
        <w:t xml:space="preserve">; checkpoint</w:t>
      </w:r>
      <w:r>
        <w:rPr>
          <w:rFonts w:ascii="Times New Roman" w:hAnsi="Times New Roman"/>
          <w:sz w:val="20"/>
        </w:rPr>
        <w:t xml:space="preserve"> </w:t>
      </w:r>
      <w:r>
        <w:rPr>
          <w:b/>
          <w:bCs/>
        </w:rPr>
        <w:t xml:space="preserve">ReportingNode:</w:t>
      </w:r>
      <w:r>
        <w:rPr>
          <w:rFonts w:ascii="Times New Roman" w:hAnsi="Times New Roman"/>
          <w:sz w:val="20"/>
        </w:rPr>
        <w:t xml:space="preserve"> </w:t>
      </w:r>
      <w:r>
        <w:rPr>
          <w:rFonts w:ascii="Times New Roman" w:hAnsi="Times New Roman"/>
          <w:sz w:val="20"/>
        </w:rPr>
        <w:t xml:space="preserve">assemble scorecard;</w:t>
      </w:r>
      <w:r>
        <w:rPr>
          <w:rFonts w:ascii="Times New Roman" w:hAnsi="Times New Roman"/>
          <w:sz w:val="20"/>
        </w:rPr>
        <w:t xml:space="preserve"> </w:t>
      </w:r>
      <w:r>
        <w:rPr>
          <w:rFonts w:ascii="Times New Roman" w:hAnsi="Times New Roman"/>
          <w:sz w:val="20"/>
        </w:rPr>
        <w:t xml:space="preserve">generate PDF; persist to Supabase; return</w:t>
      </w:r>
      <w:r>
        <w:rPr>
          <w:rFonts w:ascii="Times New Roman" w:hAnsi="Times New Roman"/>
          <w:sz w:val="20"/>
        </w:rPr>
        <w:t xml:space="preserve"> </w:t>
      </w:r>
      <m:oMath>
        <m:r>
          <m:rPr>
            <m:scr m:val="script"/>
            <m:sty m:val="p"/>
          </m:rPr>
          <m:t>S</m:t>
        </m:r>
      </m:oMath>
    </w:p>
    <w:bookmarkEnd w:id="20"/>
    <w:bookmarkStart w:id="21" w:name="sec:reporting"/>
    <w:p>
      <w:pPr>
        <w:pStyle w:val="Heading2"/>
      </w:pPr>
      <w:r>
        <w:t xml:space="preserve">Reporting and Delivery</w:t>
      </w:r>
    </w:p>
    <w:p>
      <w:pPr>
        <w:pStyle w:val="FirstParagraph"/>
      </w:pPr>
      <w:r>
        <w:t xml:space="preserve">The Reporting Agent receives the fully populated state schema and</w:t>
      </w:r>
      <w:r>
        <w:t xml:space="preserve"> </w:t>
      </w:r>
      <w:r>
        <w:t xml:space="preserve">performs two operations. First, it assembles a plain-English advisory</w:t>
      </w:r>
      <w:r>
        <w:t xml:space="preserve"> </w:t>
      </w:r>
      <w:r>
        <w:t xml:space="preserve">from a structured template, mapping each active stress factor and</w:t>
      </w:r>
      <w:r>
        <w:t xml:space="preserve"> </w:t>
      </w:r>
      <w:r>
        <w:t xml:space="preserve">disease class to pre-authored mitigation recommendations. Second, it</w:t>
      </w:r>
      <w:r>
        <w:t xml:space="preserve"> </w:t>
      </w:r>
      <w:r>
        <w:t xml:space="preserve">renders a Nutritional and Health Scorecard to an A4 PDF using Playwright</w:t>
      </w:r>
      <w:r>
        <w:t xml:space="preserve"> </w:t>
      </w:r>
      <w:r>
        <w:t xml:space="preserve">(Microsoft Corporation 2024) to headlessly render a styled HTML template</w:t>
      </w:r>
      <w:r>
        <w:t xml:space="preserve"> </w:t>
      </w:r>
      <w:r>
        <w:t xml:space="preserve">and convert it to print-quality PDF with full background graphics. The</w:t>
      </w:r>
      <w:r>
        <w:t xml:space="preserve"> </w:t>
      </w:r>
      <w:r>
        <w:t xml:space="preserve">report is returned inline as a downloadable binary over the</w:t>
      </w:r>
      <w:r>
        <w:t xml:space="preserve"> </w:t>
      </w:r>
      <w:r>
        <w:rPr>
          <w:rStyle w:val="VerbatimChar"/>
        </w:rPr>
        <w:t xml:space="preserve">/api/reports/generate</w:t>
      </w:r>
      <w:r>
        <w:t xml:space="preserve"> </w:t>
      </w:r>
      <w:r>
        <w:t xml:space="preserve">endpoint, with a structured filename</w:t>
      </w:r>
      <w:r>
        <w:t xml:space="preserve"> </w:t>
      </w:r>
      <w:r>
        <w:rPr>
          <w:rStyle w:val="VerbatimChar"/>
        </w:rPr>
        <w:t xml:space="preserve">PomeGuard_Report_PG-{scan_id}_{date}.pdf</w:t>
      </w:r>
      <w:r>
        <w:t xml:space="preserve">.</w:t>
      </w:r>
    </w:p>
    <w:p>
      <w:pPr>
        <w:pStyle w:val="BodyText"/>
        <w:jc w:val="both"/>
      </w:pPr>
      <w:r>
        <w:rPr>
          <w:rFonts w:ascii="Times New Roman" w:hAnsi="Times New Roman"/>
          <w:sz w:val="20"/>
        </w:rPr>
        <w:t xml:space="preserve">The FastAPI (Ramírez 2024) backend exposes six endpoints relevant to the</w:t>
      </w:r>
      <w:r>
        <w:rPr>
          <w:rFonts w:ascii="Times New Roman" w:hAnsi="Times New Roman"/>
          <w:sz w:val="20"/>
        </w:rPr>
        <w:t xml:space="preserve"> </w:t>
      </w:r>
      <w:r>
        <w:rPr>
          <w:rFonts w:ascii="Times New Roman" w:hAnsi="Times New Roman"/>
          <w:sz w:val="20"/>
        </w:rPr>
        <w:t xml:space="preserve">end-to-end pipeline:</w:t>
      </w:r>
    </w:p>
    <w:p>
      <w:pPr>
        <w:numPr>
          <w:ilvl w:val="0"/>
          <w:numId w:val="1004"/>
        </w:numPr>
        <w:jc w:val="both"/>
      </w:pPr>
      <w:r>
        <w:rPr>
          <w:rStyle w:val="VerbatimChar"/>
          <w:rFonts w:ascii="Times New Roman" w:hAnsi="Times New Roman"/>
          <w:sz w:val="20"/>
        </w:rPr>
        <w:t xml:space="preserve">POST /api/classify</w:t>
      </w:r>
      <w:r>
        <w:rPr>
          <w:rFonts w:ascii="Times New Roman" w:hAnsi="Times New Roman"/>
          <w:sz w:val="20"/>
        </w:rPr>
        <w:t xml:space="preserve"> </w:t>
      </w:r>
      <w:r>
        <w:rPr>
          <w:rFonts w:ascii="Times New Roman" w:hAnsi="Times New Roman"/>
          <w:sz w:val="20"/>
        </w:rPr>
        <w:t xml:space="preserve">— receives a multipart image upload, runs the</w:t>
      </w:r>
      <w:r>
        <w:rPr>
          <w:rFonts w:ascii="Times New Roman" w:hAnsi="Times New Roman"/>
          <w:sz w:val="20"/>
        </w:rPr>
        <w:t xml:space="preserve"> </w:t>
      </w:r>
      <w:r>
        <w:rPr>
          <w:rFonts w:ascii="Times New Roman" w:hAnsi="Times New Roman"/>
          <w:sz w:val="20"/>
        </w:rPr>
        <w:t xml:space="preserve">Vision Agent, and returns</w:t>
      </w:r>
      <w:r>
        <w:rPr>
          <w:rFonts w:ascii="Times New Roman" w:hAnsi="Times New Roman"/>
          <w:sz w:val="20"/>
        </w:rPr>
        <w:t xml:space="preserve"> </w:t>
      </w:r>
      <w:r>
        <w:rPr>
          <w:rStyle w:val="VerbatimChar"/>
          <w:rFonts w:ascii="Times New Roman" w:hAnsi="Times New Roman"/>
          <w:sz w:val="20"/>
        </w:rPr>
        <w:t xml:space="preserve">{disease, severity, confidence, severity_score}</w:t>
      </w:r>
      <w:r>
        <w:rPr>
          <w:rFonts w:ascii="Times New Roman" w:hAnsi="Times New Roman"/>
          <w:sz w:val="20"/>
        </w:rPr>
        <w:t xml:space="preserve">.</w:t>
      </w:r>
    </w:p>
    <w:p>
      <w:pPr>
        <w:numPr>
          <w:ilvl w:val="0"/>
          <w:numId w:val="1004"/>
        </w:numPr>
        <w:jc w:val="both"/>
      </w:pPr>
      <w:r>
        <w:rPr>
          <w:rStyle w:val="VerbatimChar"/>
          <w:rFonts w:ascii="Times New Roman" w:hAnsi="Times New Roman"/>
          <w:sz w:val="20"/>
        </w:rPr>
        <w:t xml:space="preserve">POST /api/env-metadata</w:t>
      </w:r>
      <w:r>
        <w:rPr>
          <w:rFonts w:ascii="Times New Roman" w:hAnsi="Times New Roman"/>
          <w:sz w:val="20"/>
        </w:rPr>
        <w:t xml:space="preserve"> </w:t>
      </w:r>
      <w:r>
        <w:rPr>
          <w:rFonts w:ascii="Times New Roman" w:hAnsi="Times New Roman"/>
          <w:sz w:val="20"/>
        </w:rPr>
        <w:t xml:space="preserve">— receives</w:t>
      </w:r>
      <w:r>
        <w:rPr>
          <w:rFonts w:ascii="Times New Roman" w:hAnsi="Times New Roman"/>
          <w:sz w:val="20"/>
        </w:rPr>
        <w:t xml:space="preserve"> </w:t>
      </w:r>
      <m:oMath>
        <m:r>
          <m:rPr>
            <m:sty m:val="p"/>
          </m:rPr>
          <m:t>(</m:t>
        </m:r>
        <m:r>
          <m:t>T</m:t>
        </m:r>
        <m:r>
          <m:rPr>
            <m:sty m:val="p"/>
          </m:rPr>
          <m:t>,</m:t>
        </m:r>
        <m:r>
          <m:t>H</m:t>
        </m:r>
        <m:r>
          <m:rPr>
            <m:sty m:val="p"/>
          </m:rPr>
          <m:t>,</m:t>
        </m:r>
        <m:r>
          <m:t>U</m:t>
        </m:r>
        <m:r>
          <m:rPr>
            <m:sty m:val="p"/>
          </m:rPr>
          <m:t>)</m:t>
        </m:r>
      </m:oMath>
      <w:r>
        <w:rPr>
          <w:rFonts w:ascii="Times New Roman" w:hAnsi="Times New Roman"/>
          <w:sz w:val="20"/>
        </w:rPr>
        <w:t xml:space="preserve"> </w:t>
      </w:r>
      <w:r>
        <w:rPr>
          <w:rFonts w:ascii="Times New Roman" w:hAnsi="Times New Roman"/>
          <w:sz w:val="20"/>
        </w:rPr>
        <w:t xml:space="preserve">and returns</w:t>
      </w:r>
      <w:r>
        <w:rPr>
          <w:rFonts w:ascii="Times New Roman" w:hAnsi="Times New Roman"/>
          <w:sz w:val="20"/>
        </w:rPr>
        <w:t xml:space="preserve"> </w:t>
      </w:r>
      <w:r>
        <w:rPr>
          <w:rFonts w:ascii="Times New Roman" w:hAnsi="Times New Roman"/>
          <w:sz w:val="20"/>
        </w:rPr>
        <w:t xml:space="preserve">classified stress factors and level labels.</w:t>
      </w:r>
    </w:p>
    <w:p>
      <w:pPr>
        <w:numPr>
          <w:ilvl w:val="0"/>
          <w:numId w:val="1004"/>
        </w:numPr>
        <w:jc w:val="both"/>
      </w:pPr>
      <w:r>
        <w:rPr>
          <w:rStyle w:val="VerbatimChar"/>
          <w:rFonts w:ascii="Times New Roman" w:hAnsi="Times New Roman"/>
          <w:sz w:val="20"/>
        </w:rPr>
        <w:t xml:space="preserve">POST /api/ontology-inference</w:t>
      </w:r>
      <w:r>
        <w:rPr>
          <w:rFonts w:ascii="Times New Roman" w:hAnsi="Times New Roman"/>
          <w:sz w:val="20"/>
        </w:rPr>
        <w:t xml:space="preserve"> </w:t>
      </w:r>
      <w:r>
        <w:rPr>
          <w:rFonts w:ascii="Times New Roman" w:hAnsi="Times New Roman"/>
          <w:sz w:val="20"/>
        </w:rPr>
        <w:t xml:space="preserve">— receives</w:t>
      </w:r>
      <w:r>
        <w:rPr>
          <w:rFonts w:ascii="Times New Roman" w:hAnsi="Times New Roman"/>
          <w:sz w:val="20"/>
        </w:rPr>
        <w:t xml:space="preserve"> </w:t>
      </w:r>
      <w:r>
        <w:rPr>
          <w:rStyle w:val="VerbatimChar"/>
          <w:rFonts w:ascii="Times New Roman" w:hAnsi="Times New Roman"/>
          <w:sz w:val="20"/>
        </w:rPr>
        <w:t xml:space="preserve">{disease, severity, stress_factors}</w:t>
      </w:r>
      <w:r>
        <w:rPr>
          <w:rFonts w:ascii="Times New Roman" w:hAnsi="Times New Roman"/>
          <w:sz w:val="20"/>
        </w:rPr>
        <w:t xml:space="preserve"> </w:t>
      </w:r>
      <w:r>
        <w:rPr>
          <w:rFonts w:ascii="Times New Roman" w:hAnsi="Times New Roman"/>
          <w:sz w:val="20"/>
        </w:rPr>
        <w:t xml:space="preserve">and returns the phytochemical</w:t>
      </w:r>
      <w:r>
        <w:rPr>
          <w:rFonts w:ascii="Times New Roman" w:hAnsi="Times New Roman"/>
          <w:sz w:val="20"/>
        </w:rPr>
        <w:t xml:space="preserve"> </w:t>
      </w:r>
      <w:r>
        <w:rPr>
          <w:rFonts w:ascii="Times New Roman" w:hAnsi="Times New Roman"/>
          <w:sz w:val="20"/>
        </w:rPr>
        <w:t xml:space="preserve">scorecard including compound concentrations, nutritional score, and</w:t>
      </w:r>
      <w:r>
        <w:rPr>
          <w:rFonts w:ascii="Times New Roman" w:hAnsi="Times New Roman"/>
          <w:sz w:val="20"/>
        </w:rPr>
        <w:t xml:space="preserve"> </w:t>
      </w:r>
      <w:r>
        <w:rPr>
          <w:rFonts w:ascii="Times New Roman" w:hAnsi="Times New Roman"/>
          <w:sz w:val="20"/>
        </w:rPr>
        <w:t xml:space="preserve">quality tier.</w:t>
      </w:r>
    </w:p>
    <w:p>
      <w:pPr>
        <w:numPr>
          <w:ilvl w:val="0"/>
          <w:numId w:val="1004"/>
        </w:numPr>
        <w:jc w:val="both"/>
      </w:pPr>
      <w:r>
        <w:rPr>
          <w:rStyle w:val="VerbatimChar"/>
          <w:rFonts w:ascii="Times New Roman" w:hAnsi="Times New Roman"/>
          <w:sz w:val="20"/>
        </w:rPr>
        <w:t xml:space="preserve">GET /api/scans/history</w:t>
      </w:r>
      <w:r>
        <w:rPr>
          <w:rFonts w:ascii="Times New Roman" w:hAnsi="Times New Roman"/>
          <w:sz w:val="20"/>
        </w:rPr>
        <w:t xml:space="preserve"> </w:t>
      </w:r>
      <w:r>
        <w:rPr>
          <w:rFonts w:ascii="Times New Roman" w:hAnsi="Times New Roman"/>
          <w:sz w:val="20"/>
        </w:rPr>
        <w:t xml:space="preserve">— retrieves paginated user-scoped scan</w:t>
      </w:r>
      <w:r>
        <w:rPr>
          <w:rFonts w:ascii="Times New Roman" w:hAnsi="Times New Roman"/>
          <w:sz w:val="20"/>
        </w:rPr>
        <w:t xml:space="preserve"> </w:t>
      </w:r>
      <w:r>
        <w:rPr>
          <w:rFonts w:ascii="Times New Roman" w:hAnsi="Times New Roman"/>
          <w:sz w:val="20"/>
        </w:rPr>
        <w:t xml:space="preserve">history from the Supabase PostgreSQL store.</w:t>
      </w:r>
    </w:p>
    <w:p>
      <w:pPr>
        <w:numPr>
          <w:ilvl w:val="0"/>
          <w:numId w:val="1004"/>
        </w:numPr>
        <w:jc w:val="both"/>
      </w:pPr>
      <w:r>
        <w:rPr>
          <w:rStyle w:val="VerbatimChar"/>
          <w:rFonts w:ascii="Times New Roman" w:hAnsi="Times New Roman"/>
          <w:sz w:val="20"/>
        </w:rPr>
        <w:t xml:space="preserve">POST /api/scans/save</w:t>
      </w:r>
      <w:r>
        <w:rPr>
          <w:rFonts w:ascii="Times New Roman" w:hAnsi="Times New Roman"/>
          <w:sz w:val="20"/>
        </w:rPr>
        <w:t xml:space="preserve"> </w:t>
      </w:r>
      <w:r>
        <w:rPr>
          <w:rFonts w:ascii="Times New Roman" w:hAnsi="Times New Roman"/>
          <w:sz w:val="20"/>
        </w:rPr>
        <w:t xml:space="preserve">— persists a completed scan record with media</w:t>
      </w:r>
      <w:r>
        <w:rPr>
          <w:rFonts w:ascii="Times New Roman" w:hAnsi="Times New Roman"/>
          <w:sz w:val="20"/>
        </w:rPr>
        <w:t xml:space="preserve"> </w:t>
      </w:r>
      <w:r>
        <w:rPr>
          <w:rFonts w:ascii="Times New Roman" w:hAnsi="Times New Roman"/>
          <w:sz w:val="20"/>
        </w:rPr>
        <w:t xml:space="preserve">URL (Cloudinary CDN) and inference results.</w:t>
      </w:r>
    </w:p>
    <w:p>
      <w:pPr>
        <w:numPr>
          <w:ilvl w:val="0"/>
          <w:numId w:val="1004"/>
        </w:numPr>
        <w:jc w:val="both"/>
      </w:pPr>
      <w:r>
        <w:rPr>
          <w:rStyle w:val="VerbatimChar"/>
          <w:rFonts w:ascii="Times New Roman" w:hAnsi="Times New Roman"/>
          <w:sz w:val="20"/>
        </w:rPr>
        <w:t xml:space="preserve">GET /api/reports/generate</w:t>
      </w:r>
      <w:r>
        <w:rPr>
          <w:rFonts w:ascii="Times New Roman" w:hAnsi="Times New Roman"/>
          <w:sz w:val="20"/>
        </w:rPr>
        <w:t xml:space="preserve"> </w:t>
      </w:r>
      <w:r>
        <w:rPr>
          <w:rFonts w:ascii="Times New Roman" w:hAnsi="Times New Roman"/>
          <w:sz w:val="20"/>
        </w:rPr>
        <w:t xml:space="preserve">— generates and streams the PDF report</w:t>
      </w:r>
      <w:r>
        <w:rPr>
          <w:rFonts w:ascii="Times New Roman" w:hAnsi="Times New Roman"/>
          <w:sz w:val="20"/>
        </w:rPr>
        <w:t xml:space="preserve"> </w:t>
      </w:r>
      <w:r>
        <w:rPr>
          <w:rFonts w:ascii="Times New Roman" w:hAnsi="Times New Roman"/>
          <w:sz w:val="20"/>
        </w:rPr>
        <w:t xml:space="preserve">for a given scan ID.</w:t>
      </w:r>
    </w:p>
    <w:p>
      <w:pPr>
        <w:pStyle w:val="FirstParagraph"/>
      </w:pPr>
      <w:r>
        <w:t xml:space="preserve">User authentication is enforced via JWT Bearer tokens on all history,</w:t>
      </w:r>
      <w:r>
        <w:t xml:space="preserve"> </w:t>
      </w:r>
      <w:r>
        <w:t xml:space="preserve">save, and report endpoints, with scan records isolated by</w:t>
      </w:r>
      <w:r>
        <w:t xml:space="preserve"> </w:t>
      </w:r>
      <w:r>
        <w:rPr>
          <w:rStyle w:val="VerbatimChar"/>
        </w:rPr>
        <w:t xml:space="preserve">user_id</w:t>
      </w:r>
      <w:r>
        <w:t xml:space="preserve"> </w:t>
      </w:r>
      <w:r>
        <w:t xml:space="preserve">at</w:t>
      </w:r>
      <w:r>
        <w:t xml:space="preserve"> </w:t>
      </w:r>
      <w:r>
        <w:t xml:space="preserve">the database query level.</w:t>
      </w:r>
    </w:p>
    <w:bookmarkEnd w:id="21"/>
    <w:bookmarkEnd w:id="22"/>
    <w:bookmarkStart w:id="28" w:name="sec:dataset"/>
    <w:p>
      <w:pPr>
        <w:pStyle w:val="Heading1"/>
      </w:pPr>
      <w:r>
        <w:t xml:space="preserve">Dataset and Experimental Setup</w:t>
      </w:r>
    </w:p>
    <w:bookmarkStart w:id="23" w:name="dataset"/>
    <w:p>
      <w:pPr>
        <w:pStyle w:val="Heading2"/>
      </w:pPr>
      <w:r>
        <w:t xml:space="preserve">Dataset</w:t>
      </w:r>
    </w:p>
    <w:p>
      <w:pPr>
        <w:pStyle w:val="FirstParagraph"/>
      </w:pPr>
      <w:r>
        <w:t xml:space="preserve">The vision model was trained on the Pakruddin et al. (</w:t>
      </w:r>
      <w:r>
        <w:t xml:space="preserve">Pakruddin and</w:t>
      </w:r>
      <w:r>
        <w:t xml:space="preserve"> </w:t>
      </w:r>
      <w:r>
        <w:t xml:space="preserve">collaborators</w:t>
      </w:r>
      <w:r>
        <w:t xml:space="preserve"> </w:t>
      </w:r>
      <w:r>
        <w:t xml:space="preserve">2024) pomegranate disease image dataset,</w:t>
      </w:r>
      <w:r>
        <w:t xml:space="preserve"> </w:t>
      </w:r>
      <w:r>
        <w:t xml:space="preserve">comprising 5,099 labelled RGB images collected from Karnataka</w:t>
      </w:r>
      <w:r>
        <w:t xml:space="preserve"> </w:t>
      </w:r>
      <w:r>
        <w:t xml:space="preserve">pomegranate farms during the July–October 2023 growing and harvest</w:t>
      </w:r>
      <w:r>
        <w:t xml:space="preserve"> </w:t>
      </w:r>
      <w:r>
        <w:t xml:space="preserve">season. Images were captured under natural field lighting conditions</w:t>
      </w:r>
      <w:r>
        <w:t xml:space="preserve"> </w:t>
      </w:r>
      <w:r>
        <w:t xml:space="preserve">using consumer-grade cameras and smartphones at varying distances and</w:t>
      </w:r>
      <w:r>
        <w:t xml:space="preserve"> </w:t>
      </w:r>
      <w:r>
        <w:t xml:space="preserve">angles, providing meaningful photographic variance for training</w:t>
      </w:r>
      <w:r>
        <w:t xml:space="preserve"> </w:t>
      </w:r>
      <w:r>
        <w:t xml:space="preserve">robustness.</w:t>
      </w:r>
    </w:p>
    <w:p>
      <w:pPr>
        <w:pStyle w:val="BodyText"/>
        <w:jc w:val="both"/>
      </w:pPr>
      <w:r>
        <w:rPr>
          <w:rFonts w:ascii="Times New Roman" w:hAnsi="Times New Roman"/>
          <w:sz w:val="20"/>
        </w:rPr>
        <w:t xml:space="preserve">Table </w:t>
      </w:r>
      <w:hyperlink w:anchor="tab:dataset">
        <w:r>
          <w:rPr>
            <w:rStyle w:val="Hyperlink"/>
          </w:rPr>
          <w:t xml:space="preserve">2</w:t>
        </w:r>
      </w:hyperlink>
      <w:r>
        <w:rPr>
          <w:rFonts w:ascii="Times New Roman" w:hAnsi="Times New Roman"/>
          <w:sz w:val="20"/>
        </w:rPr>
        <w:t xml:space="preserve"> </w:t>
      </w:r>
      <w:r>
        <w:rPr>
          <w:rFonts w:ascii="Times New Roman" w:hAnsi="Times New Roman"/>
          <w:sz w:val="20"/>
        </w:rPr>
        <w:t xml:space="preserve">shows the class distribution. The dataset is near-balanced, with Healthy</w:t>
      </w:r>
      <w:r>
        <w:rPr>
          <w:rFonts w:ascii="Times New Roman" w:hAnsi="Times New Roman"/>
          <w:sz w:val="20"/>
        </w:rPr>
        <w:t xml:space="preserve"> </w:t>
      </w:r>
      <w:r>
        <w:rPr>
          <w:rFonts w:ascii="Times New Roman" w:hAnsi="Times New Roman"/>
          <w:sz w:val="20"/>
        </w:rPr>
        <w:t xml:space="preserve">as the plurality class (23.8%) and Alternaria Fruit Spot as the smallest</w:t>
      </w:r>
      <w:r>
        <w:rPr>
          <w:rFonts w:ascii="Times New Roman" w:hAnsi="Times New Roman"/>
          <w:sz w:val="20"/>
        </w:rPr>
        <w:t xml:space="preserve"> </w:t>
      </w:r>
      <w:r>
        <w:rPr>
          <w:rFonts w:ascii="Times New Roman" w:hAnsi="Times New Roman"/>
          <w:sz w:val="20"/>
        </w:rPr>
        <w:t xml:space="preserve">(17.9%). This modest imbalance does not require resampling; weighted</w:t>
      </w:r>
      <w:r>
        <w:rPr>
          <w:rFonts w:ascii="Times New Roman" w:hAnsi="Times New Roman"/>
          <w:sz w:val="20"/>
        </w:rPr>
        <w:t xml:space="preserve"> </w:t>
      </w:r>
      <w:r>
        <w:rPr>
          <w:rFonts w:ascii="Times New Roman" w:hAnsi="Times New Roman"/>
          <w:sz w:val="20"/>
        </w:rPr>
        <w:t xml:space="preserve">cross-entropy was evaluated during preliminary training but did not</w:t>
      </w:r>
      <w:r>
        <w:rPr>
          <w:rFonts w:ascii="Times New Roman" w:hAnsi="Times New Roman"/>
          <w:sz w:val="20"/>
        </w:rPr>
        <w:t xml:space="preserve"> </w:t>
      </w:r>
      <w:r>
        <w:rPr>
          <w:rFonts w:ascii="Times New Roman" w:hAnsi="Times New Roman"/>
          <w:sz w:val="20"/>
        </w:rPr>
        <w:t xml:space="preserve">improve validation F1 on this distribution.</w:t>
      </w:r>
    </w:p>
    <w:p>
      <w:pPr>
        <w:pStyle w:val="TableCaption"/>
        <w:jc w:val="both"/>
      </w:pPr>
      <w:r>
        <w:rPr>
          <w:rFonts w:ascii="Times New Roman" w:hAnsi="Times New Roman"/>
          <w:sz w:val="20"/>
        </w:rPr>
        <w:t xml:space="preserve">Pakruddin et al. Dataset Class Distribution.</w:t>
      </w:r>
    </w:p>
    <w:tbl>
      <w:tblPr>
        <w:tblStyle w:val="Table"/>
        <w:tblW w:type="auto" w:w="0"/>
        <w:tblLook w:firstRow="1" w:lastRow="0" w:firstColumn="0" w:lastColumn="0" w:noHBand="0" w:noVBand="0" w:val="0020"/>
        <w:tblCaption w:val="Pakruddin et al. Dataset Class Distribution."/>
      </w:tblPr>
      <w:tblGrid>
        <w:gridCol w:w="2640"/>
        <w:gridCol w:w="2640"/>
        <w:gridCol w:w="2640"/>
      </w:tblGrid>
      <w:tr>
        <w:trPr>
          <w:tblHeader w:val="on"/>
        </w:trPr>
        <w:tc>
          <w:tcPr/>
          <w:p>
            <w:pPr>
              <w:pStyle w:val="Compact"/>
              <w:jc w:val="left"/>
            </w:pPr>
            <w:r>
              <w:rPr>
                <w:b/>
                <w:bCs/>
              </w:rPr>
              <w:t xml:space="preserve">Class</w:t>
            </w:r>
          </w:p>
        </w:tc>
        <w:tc>
          <w:tcPr/>
          <w:p>
            <w:pPr>
              <w:pStyle w:val="Compact"/>
              <w:jc w:val="center"/>
            </w:pPr>
            <w:r>
              <w:rPr>
                <w:b/>
                <w:bCs/>
              </w:rPr>
              <w:t xml:space="preserve">Count</w:t>
            </w:r>
          </w:p>
        </w:tc>
        <w:tc>
          <w:tcPr/>
          <w:p>
            <w:pPr>
              <w:pStyle w:val="Compact"/>
              <w:jc w:val="center"/>
            </w:pPr>
            <w:r>
              <w:rPr>
                <w:b/>
                <w:bCs/>
              </w:rPr>
              <w:t xml:space="preserve">Percentage</w:t>
            </w:r>
          </w:p>
        </w:tc>
      </w:tr>
      <w:tr>
        <w:tc>
          <w:tcPr/>
          <w:p>
            <w:pPr>
              <w:pStyle w:val="Compact"/>
              <w:jc w:val="left"/>
            </w:pPr>
            <w:r>
              <w:t xml:space="preserve">Healthy</w:t>
            </w:r>
          </w:p>
        </w:tc>
        <w:tc>
          <w:tcPr/>
          <w:p>
            <w:pPr>
              <w:pStyle w:val="Compact"/>
              <w:jc w:val="center"/>
            </w:pPr>
            <w:r>
              <w:t xml:space="preserve">1,215</w:t>
            </w:r>
          </w:p>
        </w:tc>
        <w:tc>
          <w:tcPr/>
          <w:p>
            <w:pPr>
              <w:pStyle w:val="Compact"/>
              <w:jc w:val="center"/>
            </w:pPr>
            <w:r>
              <w:t xml:space="preserve">23.8%</w:t>
            </w:r>
          </w:p>
        </w:tc>
      </w:tr>
      <w:tr>
        <w:tc>
          <w:tcPr/>
          <w:p>
            <w:pPr>
              <w:pStyle w:val="Compact"/>
              <w:jc w:val="left"/>
            </w:pPr>
            <w:r>
              <w:t xml:space="preserve">Bacterial Blight</w:t>
            </w:r>
          </w:p>
        </w:tc>
        <w:tc>
          <w:tcPr/>
          <w:p>
            <w:pPr>
              <w:pStyle w:val="Compact"/>
              <w:jc w:val="center"/>
            </w:pPr>
            <w:r>
              <w:t xml:space="preserve">1,080</w:t>
            </w:r>
          </w:p>
        </w:tc>
        <w:tc>
          <w:tcPr/>
          <w:p>
            <w:pPr>
              <w:pStyle w:val="Compact"/>
              <w:jc w:val="center"/>
            </w:pPr>
            <w:r>
              <w:t xml:space="preserve">21.2%</w:t>
            </w:r>
          </w:p>
        </w:tc>
      </w:tr>
      <w:tr>
        <w:tc>
          <w:tcPr/>
          <w:p>
            <w:pPr>
              <w:pStyle w:val="Compact"/>
              <w:jc w:val="left"/>
            </w:pPr>
            <w:r>
              <w:t xml:space="preserve">Anthracnose</w:t>
            </w:r>
          </w:p>
        </w:tc>
        <w:tc>
          <w:tcPr/>
          <w:p>
            <w:pPr>
              <w:pStyle w:val="Compact"/>
              <w:jc w:val="center"/>
            </w:pPr>
            <w:r>
              <w:t xml:space="preserve">954</w:t>
            </w:r>
          </w:p>
        </w:tc>
        <w:tc>
          <w:tcPr/>
          <w:p>
            <w:pPr>
              <w:pStyle w:val="Compact"/>
              <w:jc w:val="center"/>
            </w:pPr>
            <w:r>
              <w:t xml:space="preserve">18.7%</w:t>
            </w:r>
          </w:p>
        </w:tc>
      </w:tr>
      <w:tr>
        <w:tc>
          <w:tcPr/>
          <w:p>
            <w:pPr>
              <w:pStyle w:val="Compact"/>
              <w:jc w:val="left"/>
            </w:pPr>
            <w:r>
              <w:t xml:space="preserve">Cercospora Fruit Spot</w:t>
            </w:r>
          </w:p>
        </w:tc>
        <w:tc>
          <w:tcPr/>
          <w:p>
            <w:pPr>
              <w:pStyle w:val="Compact"/>
              <w:jc w:val="center"/>
            </w:pPr>
            <w:r>
              <w:t xml:space="preserve">940</w:t>
            </w:r>
          </w:p>
        </w:tc>
        <w:tc>
          <w:tcPr/>
          <w:p>
            <w:pPr>
              <w:pStyle w:val="Compact"/>
              <w:jc w:val="center"/>
            </w:pPr>
            <w:r>
              <w:t xml:space="preserve">18.4%</w:t>
            </w:r>
          </w:p>
        </w:tc>
      </w:tr>
      <w:tr>
        <w:tc>
          <w:tcPr/>
          <w:p>
            <w:pPr>
              <w:pStyle w:val="Compact"/>
              <w:jc w:val="left"/>
            </w:pPr>
            <w:r>
              <w:t xml:space="preserve">Alternaria Fruit Spot</w:t>
            </w:r>
          </w:p>
        </w:tc>
        <w:tc>
          <w:tcPr/>
          <w:p>
            <w:pPr>
              <w:pStyle w:val="Compact"/>
              <w:jc w:val="center"/>
            </w:pPr>
            <w:r>
              <w:t xml:space="preserve">910</w:t>
            </w:r>
          </w:p>
        </w:tc>
        <w:tc>
          <w:tcPr/>
          <w:p>
            <w:pPr>
              <w:pStyle w:val="Compact"/>
              <w:jc w:val="center"/>
            </w:pPr>
            <w:r>
              <w:t xml:space="preserve">17.9%</w:t>
            </w:r>
          </w:p>
        </w:tc>
      </w:tr>
      <w:tr>
        <w:tc>
          <w:tcPr/>
          <w:p>
            <w:pPr>
              <w:pStyle w:val="Compact"/>
              <w:jc w:val="left"/>
            </w:pPr>
            <w:r>
              <w:rPr>
                <w:b/>
                <w:bCs/>
              </w:rPr>
              <w:t xml:space="preserve">Total</w:t>
            </w:r>
          </w:p>
        </w:tc>
        <w:tc>
          <w:tcPr/>
          <w:p>
            <w:pPr>
              <w:pStyle w:val="Compact"/>
              <w:jc w:val="center"/>
            </w:pPr>
            <w:r>
              <w:rPr>
                <w:b/>
                <w:bCs/>
              </w:rPr>
              <w:t xml:space="preserve">5,099</w:t>
            </w:r>
          </w:p>
        </w:tc>
        <w:tc>
          <w:tcPr/>
          <w:p>
            <w:pPr>
              <w:pStyle w:val="Compact"/>
              <w:jc w:val="center"/>
            </w:pPr>
            <w:r>
              <w:rPr>
                <w:b/>
                <w:bCs/>
              </w:rPr>
              <w:t xml:space="preserve">100%</w:t>
            </w:r>
          </w:p>
        </w:tc>
      </w:tr>
    </w:tbl>
    <w:bookmarkEnd w:id="23"/>
    <w:bookmarkStart w:id="24" w:name="severity-label-bootstrapping"/>
    <w:p>
      <w:pPr>
        <w:pStyle w:val="Heading2"/>
      </w:pPr>
      <w:r>
        <w:t xml:space="preserve">Severity Label Bootstrapping</w:t>
      </w:r>
    </w:p>
    <w:p>
      <w:pPr>
        <w:pStyle w:val="FirstParagraph"/>
      </w:pPr>
      <w:r>
        <w:t xml:space="preserve">Severity labels—Mild, Moderate, Severe—were not directly annotated</w:t>
      </w:r>
      <w:r>
        <w:t xml:space="preserve"> </w:t>
      </w:r>
      <w:r>
        <w:t xml:space="preserve">by agronomists. A UNet segmentation model was applied to each labelled</w:t>
      </w:r>
      <w:r>
        <w:t xml:space="preserve"> </w:t>
      </w:r>
      <w:r>
        <w:t xml:space="preserve">disease image to estimate the fractional lesion area as a proportion of</w:t>
      </w:r>
      <w:r>
        <w:t xml:space="preserve"> </w:t>
      </w:r>
      <w:r>
        <w:t xml:space="preserve">the visible fruit surface. Thresholds of 0–15% (Mild), 15–50%</w:t>
      </w:r>
      <w:r>
        <w:t xml:space="preserve"> </w:t>
      </w:r>
      <w:r>
        <w:t xml:space="preserve">(Moderate), and above 50% (Severe) were set based on field consultation</w:t>
      </w:r>
      <w:r>
        <w:t xml:space="preserve"> </w:t>
      </w:r>
      <w:r>
        <w:t xml:space="preserve">with Maharashtra Department of Agriculture extension officers. This</w:t>
      </w:r>
      <w:r>
        <w:t xml:space="preserve"> </w:t>
      </w:r>
      <w:r>
        <w:t xml:space="preserve">bootstrapping approach is computationally practical and captures a</w:t>
      </w:r>
      <w:r>
        <w:t xml:space="preserve"> </w:t>
      </w:r>
      <w:r>
        <w:t xml:space="preserve">meaningful severity signal, but it introduces systematic labelling</w:t>
      </w:r>
      <w:r>
        <w:t xml:space="preserve"> </w:t>
      </w:r>
      <w:r>
        <w:t xml:space="preserve">noise—particularly at lesion boundaries where UNet segmentation</w:t>
      </w:r>
      <w:r>
        <w:t xml:space="preserve"> </w:t>
      </w:r>
      <w:r>
        <w:t xml:space="preserve">uncertainty is highest. We return to this limitation explicitly in</w:t>
      </w:r>
      <w:r>
        <w:t xml:space="preserve"> </w:t>
      </w:r>
      <w:r>
        <w:t xml:space="preserve">Section </w:t>
      </w:r>
      <w:hyperlink w:anchor="sec:limitations">
        <w:r>
          <w:rPr>
            <w:rStyle w:val="Hyperlink"/>
          </w:rPr>
          <w:t xml:space="preserve">8</w:t>
        </w:r>
      </w:hyperlink>
      <w:r>
        <w:t xml:space="preserve">.</w:t>
      </w:r>
    </w:p>
    <w:bookmarkEnd w:id="24"/>
    <w:bookmarkStart w:id="25" w:name="data-augmentation"/>
    <w:p>
      <w:pPr>
        <w:pStyle w:val="Heading2"/>
      </w:pPr>
      <w:r>
        <w:t xml:space="preserve">Data Augmentation</w:t>
      </w:r>
    </w:p>
    <w:p>
      <w:pPr>
        <w:pStyle w:val="FirstParagraph"/>
      </w:pPr>
      <w:r>
        <w:t xml:space="preserve">The augmentation pipeline applied during training included horizontal</w:t>
      </w:r>
      <w:r>
        <w:t xml:space="preserve"> </w:t>
      </w:r>
      <w:r>
        <w:t xml:space="preserve">and vertical random flips, rotations up to</w:t>
      </w:r>
      <w:r>
        <w:t xml:space="preserve"> </w:t>
      </w:r>
      <m:oMath>
        <m:r>
          <m:rPr>
            <m:sty m:val="p"/>
          </m:rPr>
          <m:t>±</m:t>
        </m:r>
        <m:sSup>
          <m:e>
            <m:r>
              <m:t>15</m:t>
            </m:r>
          </m:e>
          <m:sup>
            <m:r>
              <m:rPr>
                <m:sty m:val="p"/>
              </m:rPr>
              <m:t>∘</m:t>
            </m:r>
          </m:sup>
        </m:sSup>
      </m:oMath>
      <w:r>
        <w:t xml:space="preserve">, random</w:t>
      </w:r>
      <w:r>
        <w:t xml:space="preserve"> </w:t>
      </w:r>
      <w:r>
        <w:t xml:space="preserve">brightness and contrast adjustments (</w:t>
      </w:r>
      <m:oMath>
        <m:r>
          <m:rPr>
            <m:sty m:val="p"/>
          </m:rPr>
          <m:t>±</m:t>
        </m:r>
        <m:r>
          <m:t>20</m:t>
        </m:r>
        <m:r>
          <m:rPr>
            <m:sty m:val="p"/>
          </m:rPr>
          <m:t>%</m:t>
        </m:r>
      </m:oMath>
      <w:r>
        <w:t xml:space="preserve">), and simulated</w:t>
      </w:r>
      <w:r>
        <w:t xml:space="preserve"> </w:t>
      </w:r>
      <w:r>
        <w:t xml:space="preserve">occlusion patches (random rectangular masking of 5–15% of image area).</w:t>
      </w:r>
      <w:r>
        <w:t xml:space="preserve"> </w:t>
      </w:r>
      <w:r>
        <w:t xml:space="preserve">All augmentations were applied on-the-fly during training using</w:t>
      </w:r>
      <w:r>
        <w:t xml:space="preserve"> </w:t>
      </w:r>
      <w:r>
        <w:t xml:space="preserve">torchvision transforms. The held-out validation and test partitions</w:t>
      </w:r>
      <w:r>
        <w:t xml:space="preserve"> </w:t>
      </w:r>
      <w:r>
        <w:t xml:space="preserve">received no augmentation—only the standard resize and normalise</w:t>
      </w:r>
      <w:r>
        <w:t xml:space="preserve"> </w:t>
      </w:r>
      <w:r>
        <w:t xml:space="preserve">transforms.</w:t>
      </w:r>
    </w:p>
    <w:bookmarkEnd w:id="25"/>
    <w:bookmarkStart w:id="26" w:name="trainvalidation-split"/>
    <w:p>
      <w:pPr>
        <w:pStyle w:val="Heading2"/>
      </w:pPr>
      <w:r>
        <w:t xml:space="preserve">Train/Validation Split</w:t>
      </w:r>
    </w:p>
    <w:p>
      <w:pPr>
        <w:pStyle w:val="FirstParagraph"/>
      </w:pPr>
      <w:r>
        <w:t xml:space="preserve">An 80 / 20 stratified split was used: 4,079 images for training and</w:t>
      </w:r>
      <w:r>
        <w:t xml:space="preserve"> </w:t>
      </w:r>
      <w:r>
        <w:t xml:space="preserve">1,020 for validation. Since the dataset does not include a separately</w:t>
      </w:r>
      <w:r>
        <w:t xml:space="preserve"> </w:t>
      </w:r>
      <w:r>
        <w:t xml:space="preserve">held-out test set from a geographically distinct population, validation</w:t>
      </w:r>
      <w:r>
        <w:t xml:space="preserve"> </w:t>
      </w:r>
      <w:r>
        <w:t xml:space="preserve">performance is reported in</w:t>
      </w:r>
      <w:r>
        <w:t xml:space="preserve"> </w:t>
      </w:r>
      <w:r>
        <w:t xml:space="preserve">Section </w:t>
      </w:r>
      <w:hyperlink w:anchor="sec:results">
        <w:r>
          <w:rPr>
            <w:rStyle w:val="Hyperlink"/>
          </w:rPr>
          <w:t xml:space="preserve">6</w:t>
        </w:r>
      </w:hyperlink>
      <w:r>
        <w:t xml:space="preserve"> </w:t>
      </w:r>
      <w:r>
        <w:t xml:space="preserve">with the caveat that it may be optimistic relative to cross-district</w:t>
      </w:r>
      <w:r>
        <w:t xml:space="preserve"> </w:t>
      </w:r>
      <w:r>
        <w:t xml:space="preserve">generalisation.</w:t>
      </w:r>
    </w:p>
    <w:bookmarkEnd w:id="26"/>
    <w:bookmarkStart w:id="27" w:name="hardware-and-software"/>
    <w:p>
      <w:pPr>
        <w:pStyle w:val="Heading2"/>
      </w:pPr>
      <w:r>
        <w:t xml:space="preserve">Hardware and Software</w:t>
      </w:r>
    </w:p>
    <w:p>
      <w:pPr>
        <w:pStyle w:val="FirstParagraph"/>
      </w:pPr>
      <w:r>
        <w:t xml:space="preserve">Training was conducted with PyTorch 2.x (Paszke et al. 2019) on a</w:t>
      </w:r>
      <w:r>
        <w:t xml:space="preserve"> </w:t>
      </w:r>
      <w:r>
        <w:t xml:space="preserve">GPU-accelerated workstation. The production inference server runs</w:t>
      </w:r>
      <w:r>
        <w:t xml:space="preserve"> </w:t>
      </w:r>
      <w:r>
        <w:t xml:space="preserve">FastAPI (Ramírez 2024) with Uvicorn on Python 3.10+. The React 18</w:t>
      </w:r>
      <w:r>
        <w:t xml:space="preserve"> </w:t>
      </w:r>
      <w:r>
        <w:t xml:space="preserve">frontend communicates with the backend via Axios over a REST interface;</w:t>
      </w:r>
      <w:r>
        <w:t xml:space="preserve"> </w:t>
      </w:r>
      <w:r>
        <w:t xml:space="preserve">persistent scan records and user profiles are stored in a</w:t>
      </w:r>
      <w:r>
        <w:t xml:space="preserve"> </w:t>
      </w:r>
      <w:r>
        <w:t xml:space="preserve">Supabase-hosted PostgreSQL instance, with media assets on Cloudinary</w:t>
      </w:r>
      <w:r>
        <w:t xml:space="preserve"> </w:t>
      </w:r>
      <w:r>
        <w:t xml:space="preserve">CDN.</w:t>
      </w:r>
    </w:p>
    <w:bookmarkEnd w:id="27"/>
    <w:bookmarkEnd w:id="28"/>
    <w:bookmarkStart w:id="33" w:name="sec:results"/>
    <w:p>
      <w:pPr>
        <w:pStyle w:val="Heading1"/>
      </w:pPr>
      <w:r>
        <w:t xml:space="preserve">Results and Evaluation</w:t>
      </w:r>
    </w:p>
    <w:bookmarkStart w:id="29" w:name="disease-classification-performance"/>
    <w:p>
      <w:pPr>
        <w:pStyle w:val="Heading2"/>
      </w:pPr>
      <w:r>
        <w:t xml:space="preserve">Disease Classification Performance</w:t>
      </w:r>
    </w:p>
    <w:p>
      <w:pPr>
        <w:pStyle w:val="FirstParagraph"/>
      </w:pPr>
      <w:r>
        <w:t xml:space="preserve">Table </w:t>
      </w:r>
      <w:hyperlink w:anchor="tab:performance">
        <w:r>
          <w:rPr>
            <w:rStyle w:val="Hyperlink"/>
          </w:rPr>
          <w:t xml:space="preserve">3</w:t>
        </w:r>
      </w:hyperlink>
      <w:r>
        <w:t xml:space="preserve"> </w:t>
      </w:r>
      <w:r>
        <w:t xml:space="preserve">reports per-class and overall Precision,</w:t>
      </w:r>
      <w:r>
        <w:t xml:space="preserve"> </w:t>
      </w:r>
      <w:r>
        <w:t xml:space="preserve">Recall, F1-Score, and AUC on the validation partition.</w:t>
      </w:r>
    </w:p>
    <w:p>
      <w:pPr>
        <w:pStyle w:val="TableCaption"/>
        <w:jc w:val="both"/>
      </w:pPr>
      <w:r>
        <w:rPr>
          <w:rFonts w:ascii="Times New Roman" w:hAnsi="Times New Roman"/>
          <w:sz w:val="20"/>
        </w:rPr>
        <w:t xml:space="preserve">EfficientNetB0 Per-Class Classification Performance on the Pakruddin</w:t>
      </w:r>
      <w:r>
        <w:rPr>
          <w:rFonts w:ascii="Times New Roman" w:hAnsi="Times New Roman"/>
          <w:sz w:val="20"/>
        </w:rPr>
        <w:t xml:space="preserve"> </w:t>
      </w:r>
      <w:r>
        <w:rPr>
          <w:rFonts w:ascii="Times New Roman" w:hAnsi="Times New Roman"/>
          <w:sz w:val="20"/>
        </w:rPr>
        <w:t xml:space="preserve">et al. validation set (1,020 images).</w:t>
      </w:r>
    </w:p>
    <w:tbl>
      <w:tblPr>
        <w:tblStyle w:val="Table"/>
        <w:tblW w:type="auto" w:w="0"/>
        <w:tblLook w:firstRow="1" w:lastRow="0" w:firstColumn="0" w:lastColumn="0" w:noHBand="0" w:noVBand="0" w:val="0020"/>
        <w:tblCaption w:val="EfficientNetB0 Per-Class Classification Performance on the Pakruddin et al. validation set (1,020 images)."/>
      </w:tblPr>
      <w:tblGrid>
        <w:gridCol w:w="1584"/>
        <w:gridCol w:w="1584"/>
        <w:gridCol w:w="1584"/>
        <w:gridCol w:w="1584"/>
        <w:gridCol w:w="1584"/>
      </w:tblGrid>
      <w:tr>
        <w:trPr>
          <w:tblHeader w:val="on"/>
        </w:trPr>
        <w:tc>
          <w:tcPr/>
          <w:p>
            <w:pPr>
              <w:pStyle w:val="Compact"/>
              <w:jc w:val="left"/>
            </w:pPr>
            <w:r>
              <w:rPr>
                <w:b/>
                <w:bCs/>
              </w:rPr>
              <w:t xml:space="preserve">Class</w:t>
            </w:r>
          </w:p>
        </w:tc>
        <w:tc>
          <w:tcPr/>
          <w:p>
            <w:pPr>
              <w:pStyle w:val="Compact"/>
              <w:jc w:val="center"/>
            </w:pPr>
            <w:r>
              <w:rPr>
                <w:b/>
                <w:bCs/>
              </w:rPr>
              <w:t xml:space="preserve">Prec. (%)</w:t>
            </w:r>
          </w:p>
        </w:tc>
        <w:tc>
          <w:tcPr/>
          <w:p>
            <w:pPr>
              <w:pStyle w:val="Compact"/>
              <w:jc w:val="center"/>
            </w:pPr>
            <w:r>
              <w:rPr>
                <w:b/>
                <w:bCs/>
              </w:rPr>
              <w:t xml:space="preserve">Rec. (%)</w:t>
            </w:r>
          </w:p>
        </w:tc>
        <w:tc>
          <w:tcPr/>
          <w:p>
            <w:pPr>
              <w:pStyle w:val="Compact"/>
              <w:jc w:val="center"/>
            </w:pPr>
            <w:r>
              <w:rPr>
                <w:b/>
                <w:bCs/>
              </w:rPr>
              <w:t xml:space="preserve">F1 (%)</w:t>
            </w:r>
          </w:p>
        </w:tc>
        <w:tc>
          <w:tcPr/>
          <w:p>
            <w:pPr>
              <w:pStyle w:val="Compact"/>
              <w:jc w:val="center"/>
            </w:pPr>
            <w:r>
              <w:rPr>
                <w:b/>
                <w:bCs/>
              </w:rPr>
              <w:t xml:space="preserve">AUC</w:t>
            </w:r>
          </w:p>
        </w:tc>
      </w:tr>
      <w:tr>
        <w:tc>
          <w:tcPr/>
          <w:p>
            <w:pPr>
              <w:pStyle w:val="Compact"/>
              <w:jc w:val="left"/>
            </w:pPr>
            <w:r>
              <w:t xml:space="preserve">Healthy</w:t>
            </w:r>
          </w:p>
        </w:tc>
        <w:tc>
          <w:tcPr/>
          <w:p>
            <w:pPr>
              <w:pStyle w:val="Compact"/>
              <w:jc w:val="center"/>
            </w:pPr>
            <w:r>
              <w:t xml:space="preserve">99.8</w:t>
            </w:r>
          </w:p>
        </w:tc>
        <w:tc>
          <w:tcPr/>
          <w:p>
            <w:pPr>
              <w:pStyle w:val="Compact"/>
              <w:jc w:val="center"/>
            </w:pPr>
            <w:r>
              <w:t xml:space="preserve">99.6</w:t>
            </w:r>
          </w:p>
        </w:tc>
        <w:tc>
          <w:tcPr/>
          <w:p>
            <w:pPr>
              <w:pStyle w:val="Compact"/>
              <w:jc w:val="center"/>
            </w:pPr>
            <w:r>
              <w:t xml:space="preserve">99.7</w:t>
            </w:r>
          </w:p>
        </w:tc>
        <w:tc>
          <w:tcPr/>
          <w:p>
            <w:pPr>
              <w:pStyle w:val="Compact"/>
              <w:jc w:val="center"/>
            </w:pPr>
            <w:r>
              <w:t xml:space="preserve">0.999</w:t>
            </w:r>
          </w:p>
        </w:tc>
      </w:tr>
      <w:tr>
        <w:tc>
          <w:tcPr/>
          <w:p>
            <w:pPr>
              <w:pStyle w:val="Compact"/>
              <w:jc w:val="left"/>
            </w:pPr>
            <w:r>
              <w:t xml:space="preserve">Bacterial Blight</w:t>
            </w:r>
          </w:p>
        </w:tc>
        <w:tc>
          <w:tcPr/>
          <w:p>
            <w:pPr>
              <w:pStyle w:val="Compact"/>
              <w:jc w:val="center"/>
            </w:pPr>
            <w:r>
              <w:t xml:space="preserve">99.1</w:t>
            </w:r>
          </w:p>
        </w:tc>
        <w:tc>
          <w:tcPr/>
          <w:p>
            <w:pPr>
              <w:pStyle w:val="Compact"/>
              <w:jc w:val="center"/>
            </w:pPr>
            <w:r>
              <w:t xml:space="preserve">98.9</w:t>
            </w:r>
          </w:p>
        </w:tc>
        <w:tc>
          <w:tcPr/>
          <w:p>
            <w:pPr>
              <w:pStyle w:val="Compact"/>
              <w:jc w:val="center"/>
            </w:pPr>
            <w:r>
              <w:t xml:space="preserve">99.0</w:t>
            </w:r>
          </w:p>
        </w:tc>
        <w:tc>
          <w:tcPr/>
          <w:p>
            <w:pPr>
              <w:pStyle w:val="Compact"/>
              <w:jc w:val="center"/>
            </w:pPr>
            <w:r>
              <w:t xml:space="preserve">0.998</w:t>
            </w:r>
          </w:p>
        </w:tc>
      </w:tr>
      <w:tr>
        <w:tc>
          <w:tcPr/>
          <w:p>
            <w:pPr>
              <w:pStyle w:val="Compact"/>
              <w:jc w:val="left"/>
            </w:pPr>
            <w:r>
              <w:t xml:space="preserve">Anthracnose</w:t>
            </w:r>
          </w:p>
        </w:tc>
        <w:tc>
          <w:tcPr/>
          <w:p>
            <w:pPr>
              <w:pStyle w:val="Compact"/>
              <w:jc w:val="center"/>
            </w:pPr>
            <w:r>
              <w:t xml:space="preserve">98.7</w:t>
            </w:r>
          </w:p>
        </w:tc>
        <w:tc>
          <w:tcPr/>
          <w:p>
            <w:pPr>
              <w:pStyle w:val="Compact"/>
              <w:jc w:val="center"/>
            </w:pPr>
            <w:r>
              <w:t xml:space="preserve">98.5</w:t>
            </w:r>
          </w:p>
        </w:tc>
        <w:tc>
          <w:tcPr/>
          <w:p>
            <w:pPr>
              <w:pStyle w:val="Compact"/>
              <w:jc w:val="center"/>
            </w:pPr>
            <w:r>
              <w:t xml:space="preserve">98.6</w:t>
            </w:r>
          </w:p>
        </w:tc>
        <w:tc>
          <w:tcPr/>
          <w:p>
            <w:pPr>
              <w:pStyle w:val="Compact"/>
              <w:jc w:val="center"/>
            </w:pPr>
            <w:r>
              <w:t xml:space="preserve">0.997</w:t>
            </w:r>
          </w:p>
        </w:tc>
      </w:tr>
      <w:tr>
        <w:tc>
          <w:tcPr/>
          <w:p>
            <w:pPr>
              <w:pStyle w:val="Compact"/>
              <w:jc w:val="left"/>
            </w:pPr>
            <w:r>
              <w:t xml:space="preserve">Cercospora Fruit Spot</w:t>
            </w:r>
          </w:p>
        </w:tc>
        <w:tc>
          <w:tcPr/>
          <w:p>
            <w:pPr>
              <w:pStyle w:val="Compact"/>
              <w:jc w:val="center"/>
            </w:pPr>
            <w:r>
              <w:t xml:space="preserve">98.4</w:t>
            </w:r>
          </w:p>
        </w:tc>
        <w:tc>
          <w:tcPr/>
          <w:p>
            <w:pPr>
              <w:pStyle w:val="Compact"/>
              <w:jc w:val="center"/>
            </w:pPr>
            <w:r>
              <w:t xml:space="preserve">98.2</w:t>
            </w:r>
          </w:p>
        </w:tc>
        <w:tc>
          <w:tcPr/>
          <w:p>
            <w:pPr>
              <w:pStyle w:val="Compact"/>
              <w:jc w:val="center"/>
            </w:pPr>
            <w:r>
              <w:t xml:space="preserve">98.3</w:t>
            </w:r>
          </w:p>
        </w:tc>
        <w:tc>
          <w:tcPr/>
          <w:p>
            <w:pPr>
              <w:pStyle w:val="Compact"/>
              <w:jc w:val="center"/>
            </w:pPr>
            <w:r>
              <w:t xml:space="preserve">0.996</w:t>
            </w:r>
          </w:p>
        </w:tc>
      </w:tr>
      <w:tr>
        <w:tc>
          <w:tcPr/>
          <w:p>
            <w:pPr>
              <w:pStyle w:val="Compact"/>
              <w:jc w:val="left"/>
            </w:pPr>
            <w:r>
              <w:t xml:space="preserve">Alternaria Fruit Spot</w:t>
            </w:r>
          </w:p>
        </w:tc>
        <w:tc>
          <w:tcPr/>
          <w:p>
            <w:pPr>
              <w:pStyle w:val="Compact"/>
              <w:jc w:val="center"/>
            </w:pPr>
            <w:r>
              <w:t xml:space="preserve">98.9</w:t>
            </w:r>
          </w:p>
        </w:tc>
        <w:tc>
          <w:tcPr/>
          <w:p>
            <w:pPr>
              <w:pStyle w:val="Compact"/>
              <w:jc w:val="center"/>
            </w:pPr>
            <w:r>
              <w:t xml:space="preserve">98.7</w:t>
            </w:r>
          </w:p>
        </w:tc>
        <w:tc>
          <w:tcPr/>
          <w:p>
            <w:pPr>
              <w:pStyle w:val="Compact"/>
              <w:jc w:val="center"/>
            </w:pPr>
            <w:r>
              <w:t xml:space="preserve">98.8</w:t>
            </w:r>
          </w:p>
        </w:tc>
        <w:tc>
          <w:tcPr/>
          <w:p>
            <w:pPr>
              <w:pStyle w:val="Compact"/>
              <w:jc w:val="center"/>
            </w:pPr>
            <w:r>
              <w:t xml:space="preserve">0.997</w:t>
            </w:r>
          </w:p>
        </w:tc>
      </w:tr>
      <w:tr>
        <w:tc>
          <w:tcPr/>
          <w:p>
            <w:pPr>
              <w:pStyle w:val="Compact"/>
              <w:jc w:val="left"/>
            </w:pPr>
            <w:r>
              <w:rPr>
                <w:b/>
                <w:bCs/>
              </w:rPr>
              <w:t xml:space="preserve">Overall</w:t>
            </w:r>
          </w:p>
        </w:tc>
        <w:tc>
          <w:tcPr/>
          <w:p>
            <w:pPr>
              <w:pStyle w:val="Compact"/>
              <w:jc w:val="center"/>
            </w:pPr>
            <w:r>
              <w:rPr>
                <w:b/>
                <w:bCs/>
              </w:rPr>
              <w:t xml:space="preserve">99.0</w:t>
            </w:r>
          </w:p>
        </w:tc>
        <w:tc>
          <w:tcPr/>
          <w:p>
            <w:pPr>
              <w:pStyle w:val="Compact"/>
              <w:jc w:val="center"/>
            </w:pPr>
            <w:r>
              <w:rPr>
                <w:b/>
                <w:bCs/>
              </w:rPr>
              <w:t xml:space="preserve">98.8</w:t>
            </w:r>
          </w:p>
        </w:tc>
        <w:tc>
          <w:tcPr/>
          <w:p>
            <w:pPr>
              <w:pStyle w:val="Compact"/>
              <w:jc w:val="center"/>
            </w:pPr>
            <w:r>
              <w:rPr>
                <w:b/>
                <w:bCs/>
              </w:rPr>
              <w:t xml:space="preserve">98.9</w:t>
            </w:r>
          </w:p>
        </w:tc>
        <w:tc>
          <w:tcPr/>
          <w:p>
            <w:pPr>
              <w:pStyle w:val="Compact"/>
              <w:jc w:val="center"/>
            </w:pPr>
            <w:r>
              <w:rPr>
                <w:b/>
                <w:bCs/>
              </w:rPr>
              <w:t xml:space="preserve">0.997</w:t>
            </w:r>
          </w:p>
        </w:tc>
      </w:tr>
    </w:tbl>
    <w:p>
      <w:pPr>
        <w:pStyle w:val="BodyText"/>
        <w:jc w:val="both"/>
      </w:pPr>
      <w:r>
        <w:rPr>
          <w:rFonts w:ascii="Times New Roman" w:hAnsi="Times New Roman"/>
          <w:sz w:val="20"/>
        </w:rPr>
        <w:t xml:space="preserve">The system achieved 98.9% overall F1-score, with no class falling below</w:t>
      </w:r>
      <w:r>
        <w:rPr>
          <w:rFonts w:ascii="Times New Roman" w:hAnsi="Times New Roman"/>
          <w:sz w:val="20"/>
        </w:rPr>
        <w:t xml:space="preserve"> </w:t>
      </w:r>
      <w:r>
        <w:rPr>
          <w:rFonts w:ascii="Times New Roman" w:hAnsi="Times New Roman"/>
          <w:sz w:val="20"/>
        </w:rPr>
        <w:t xml:space="preserve">98.3%. Cercospora Fruit Spot records the lowest F1 at 98.3%—69 basis</w:t>
      </w:r>
      <w:r>
        <w:rPr>
          <w:rFonts w:ascii="Times New Roman" w:hAnsi="Times New Roman"/>
          <w:sz w:val="20"/>
        </w:rPr>
        <w:t xml:space="preserve"> </w:t>
      </w:r>
      <w:r>
        <w:rPr>
          <w:rFonts w:ascii="Times New Roman" w:hAnsi="Times New Roman"/>
          <w:sz w:val="20"/>
        </w:rPr>
        <w:t xml:space="preserve">points below Healthy. Visual inspection of misclassified Cercospora</w:t>
      </w:r>
      <w:r>
        <w:rPr>
          <w:rFonts w:ascii="Times New Roman" w:hAnsi="Times New Roman"/>
          <w:sz w:val="20"/>
        </w:rPr>
        <w:t xml:space="preserve"> </w:t>
      </w:r>
      <w:r>
        <w:rPr>
          <w:rFonts w:ascii="Times New Roman" w:hAnsi="Times New Roman"/>
          <w:sz w:val="20"/>
        </w:rPr>
        <w:t xml:space="preserve">samples reveals a consistent pattern: early-stage Cercospora lesions</w:t>
      </w:r>
      <w:r>
        <w:rPr>
          <w:rFonts w:ascii="Times New Roman" w:hAnsi="Times New Roman"/>
          <w:sz w:val="20"/>
        </w:rPr>
        <w:t xml:space="preserve"> </w:t>
      </w:r>
      <w:r>
        <w:rPr>
          <w:rFonts w:ascii="Times New Roman" w:hAnsi="Times New Roman"/>
          <w:sz w:val="20"/>
        </w:rPr>
        <w:t xml:space="preserve">present as small, dark punctate spots with irregular margins that are</w:t>
      </w:r>
      <w:r>
        <w:rPr>
          <w:rFonts w:ascii="Times New Roman" w:hAnsi="Times New Roman"/>
          <w:sz w:val="20"/>
        </w:rPr>
        <w:t xml:space="preserve"> </w:t>
      </w:r>
      <w:r>
        <w:rPr>
          <w:rFonts w:ascii="Times New Roman" w:hAnsi="Times New Roman"/>
          <w:sz w:val="20"/>
        </w:rPr>
        <w:t xml:space="preserve">visually similar to early Alternaria infections at the same severity</w:t>
      </w:r>
      <w:r>
        <w:rPr>
          <w:rFonts w:ascii="Times New Roman" w:hAnsi="Times New Roman"/>
          <w:sz w:val="20"/>
        </w:rPr>
        <w:t xml:space="preserve"> </w:t>
      </w:r>
      <w:r>
        <w:rPr>
          <w:rFonts w:ascii="Times New Roman" w:hAnsi="Times New Roman"/>
          <w:sz w:val="20"/>
        </w:rPr>
        <w:t xml:space="preserve">level. The confusion between these two classes is taxonomically</w:t>
      </w:r>
      <w:r>
        <w:rPr>
          <w:rFonts w:ascii="Times New Roman" w:hAnsi="Times New Roman"/>
          <w:sz w:val="20"/>
        </w:rPr>
        <w:t xml:space="preserve"> </w:t>
      </w:r>
      <w:r>
        <w:rPr>
          <w:rFonts w:ascii="Times New Roman" w:hAnsi="Times New Roman"/>
          <w:sz w:val="20"/>
        </w:rPr>
        <w:t xml:space="preserve">unsurprising—both are deuteromycete fungi causing similar surface</w:t>
      </w:r>
      <w:r>
        <w:rPr>
          <w:rFonts w:ascii="Times New Roman" w:hAnsi="Times New Roman"/>
          <w:sz w:val="20"/>
        </w:rPr>
        <w:t xml:space="preserve"> </w:t>
      </w:r>
      <w:r>
        <w:rPr>
          <w:rFonts w:ascii="Times New Roman" w:hAnsi="Times New Roman"/>
          <w:sz w:val="20"/>
        </w:rPr>
        <w:t xml:space="preserve">melanisation—and represents a fundamental ambiguity in the symptom</w:t>
      </w:r>
      <w:r>
        <w:rPr>
          <w:rFonts w:ascii="Times New Roman" w:hAnsi="Times New Roman"/>
          <w:sz w:val="20"/>
        </w:rPr>
        <w:t xml:space="preserve"> </w:t>
      </w:r>
      <w:r>
        <w:rPr>
          <w:rFonts w:ascii="Times New Roman" w:hAnsi="Times New Roman"/>
          <w:sz w:val="20"/>
        </w:rPr>
        <w:t xml:space="preserve">space rather than a failure of the model architecture. A secondary</w:t>
      </w:r>
      <w:r>
        <w:rPr>
          <w:rFonts w:ascii="Times New Roman" w:hAnsi="Times New Roman"/>
          <w:sz w:val="20"/>
        </w:rPr>
        <w:t xml:space="preserve"> </w:t>
      </w:r>
      <w:r>
        <w:rPr>
          <w:rFonts w:ascii="Times New Roman" w:hAnsi="Times New Roman"/>
          <w:sz w:val="20"/>
        </w:rPr>
        <w:t xml:space="preserve">network trained on the difference between confirmed Cercospora and</w:t>
      </w:r>
      <w:r>
        <w:rPr>
          <w:rFonts w:ascii="Times New Roman" w:hAnsi="Times New Roman"/>
          <w:sz w:val="20"/>
        </w:rPr>
        <w:t xml:space="preserve"> </w:t>
      </w:r>
      <w:r>
        <w:rPr>
          <w:rFonts w:ascii="Times New Roman" w:hAnsi="Times New Roman"/>
          <w:sz w:val="20"/>
        </w:rPr>
        <w:t xml:space="preserve">Alternaria samples, possibly using spectral information unavailable to</w:t>
      </w:r>
      <w:r>
        <w:rPr>
          <w:rFonts w:ascii="Times New Roman" w:hAnsi="Times New Roman"/>
          <w:sz w:val="20"/>
        </w:rPr>
        <w:t xml:space="preserve"> </w:t>
      </w:r>
      <w:r>
        <w:rPr>
          <w:rFonts w:ascii="Times New Roman" w:hAnsi="Times New Roman"/>
          <w:sz w:val="20"/>
        </w:rPr>
        <w:t xml:space="preserve">RGB cameras, may reduce this confusion; we leave this to future work.</w:t>
      </w:r>
    </w:p>
    <w:p>
      <w:pPr>
        <w:pStyle w:val="BodyText"/>
        <w:jc w:val="both"/>
      </w:pPr>
      <w:r>
        <w:rPr>
          <w:rFonts w:ascii="Times New Roman" w:hAnsi="Times New Roman"/>
          <w:sz w:val="20"/>
        </w:rPr>
        <w:t xml:space="preserve">To contextualise this performance,</w:t>
      </w:r>
      <w:r>
        <w:rPr>
          <w:rFonts w:ascii="Times New Roman" w:hAnsi="Times New Roman"/>
          <w:sz w:val="20"/>
        </w:rPr>
        <w:t xml:space="preserve"> </w:t>
      </w:r>
      <w:r>
        <w:rPr>
          <w:rFonts w:ascii="Times New Roman" w:hAnsi="Times New Roman"/>
          <w:sz w:val="20"/>
        </w:rPr>
        <w:t xml:space="preserve">Table </w:t>
      </w:r>
      <w:hyperlink w:anchor="tab:baseline_comparison">
        <w:r>
          <w:rPr>
            <w:rStyle w:val="Hyperlink"/>
          </w:rPr>
          <w:t xml:space="preserve">4</w:t>
        </w:r>
      </w:hyperlink>
      <w:r>
        <w:rPr>
          <w:rFonts w:ascii="Times New Roman" w:hAnsi="Times New Roman"/>
          <w:sz w:val="20"/>
        </w:rPr>
        <w:t xml:space="preserve"> </w:t>
      </w:r>
      <w:r>
        <w:rPr>
          <w:rFonts w:ascii="Times New Roman" w:hAnsi="Times New Roman"/>
          <w:sz w:val="20"/>
        </w:rPr>
        <w:t xml:space="preserve">compares reported F1-scores of</w:t>
      </w:r>
      <w:r>
        <w:rPr>
          <w:rFonts w:ascii="Times New Roman" w:hAnsi="Times New Roman"/>
          <w:sz w:val="20"/>
        </w:rPr>
        <w:t xml:space="preserve"> </w:t>
      </w:r>
      <w:r>
        <w:rPr>
          <w:rFonts w:ascii="Times New Roman" w:hAnsi="Times New Roman"/>
          <w:sz w:val="20"/>
        </w:rPr>
        <w:t xml:space="preserve">alternative CNN architectures on comparable five-class pomegranate or</w:t>
      </w:r>
      <w:r>
        <w:rPr>
          <w:rFonts w:ascii="Times New Roman" w:hAnsi="Times New Roman"/>
          <w:sz w:val="20"/>
        </w:rPr>
        <w:t xml:space="preserve"> </w:t>
      </w:r>
      <w:r>
        <w:rPr>
          <w:rFonts w:ascii="Times New Roman" w:hAnsi="Times New Roman"/>
          <w:sz w:val="20"/>
        </w:rPr>
        <w:t xml:space="preserve">general fruit disease benchmarks from the literature.</w:t>
      </w:r>
    </w:p>
    <w:p>
      <w:pPr>
        <w:pStyle w:val="TableCaption"/>
        <w:jc w:val="both"/>
      </w:pPr>
      <w:r>
        <w:rPr>
          <w:rFonts w:ascii="Times New Roman" w:hAnsi="Times New Roman"/>
          <w:sz w:val="20"/>
        </w:rPr>
        <w:t xml:space="preserve">Comparative CNN Performance on Pomegranate or Five-Class Fruit</w:t>
      </w:r>
      <w:r>
        <w:rPr>
          <w:rFonts w:ascii="Times New Roman" w:hAnsi="Times New Roman"/>
          <w:sz w:val="20"/>
        </w:rPr>
        <w:t xml:space="preserve"> </w:t>
      </w:r>
      <w:r>
        <w:rPr>
          <w:rFonts w:ascii="Times New Roman" w:hAnsi="Times New Roman"/>
          <w:sz w:val="20"/>
        </w:rPr>
        <w:t xml:space="preserve">Disease Classification.</w:t>
      </w:r>
      <w:r>
        <w:rPr>
          <w:rFonts w:ascii="Times New Roman" w:hAnsi="Times New Roman"/>
          <w:sz w:val="20"/>
        </w:rPr>
        <w:t xml:space="preserve"> </w:t>
      </w:r>
      <m:oMath>
        <m:sSup>
          <m:e>
            <m:r>
              <m:t>​</m:t>
            </m:r>
          </m:e>
          <m:sup>
            <m:r>
              <m:rPr>
                <m:sty m:val="p"/>
              </m:rPr>
              <m:t>†</m:t>
            </m:r>
          </m:sup>
        </m:sSup>
      </m:oMath>
      <w:r>
        <w:rPr>
          <w:rFonts w:ascii="Times New Roman" w:hAnsi="Times New Roman"/>
          <w:sz w:val="20"/>
        </w:rPr>
        <w:t xml:space="preserve">Results on comparable datasets; not</w:t>
      </w:r>
      <w:r>
        <w:rPr>
          <w:rFonts w:ascii="Times New Roman" w:hAnsi="Times New Roman"/>
          <w:sz w:val="20"/>
        </w:rPr>
        <w:t xml:space="preserve"> </w:t>
      </w:r>
      <w:r>
        <w:rPr>
          <w:rFonts w:ascii="Times New Roman" w:hAnsi="Times New Roman"/>
          <w:sz w:val="20"/>
        </w:rPr>
        <w:t xml:space="preserve">directly comparable to Pakruddin et al. test set.</w:t>
      </w:r>
    </w:p>
    <w:tbl>
      <w:tblPr>
        <w:tblStyle w:val="Table"/>
        <w:tblW w:type="auto" w:w="0"/>
        <w:tblLook w:firstRow="1" w:lastRow="0" w:firstColumn="0" w:lastColumn="0" w:noHBand="0" w:noVBand="0" w:val="0020"/>
        <w:tblCaption w:val="Comparative CNN Performance on Pomegranate or Five-Class Fruit Disease Classification. ^\daggerResults on comparable datasets; not directly comparable to Pakruddin et al. test set."/>
      </w:tblPr>
      <w:tblGrid>
        <w:gridCol w:w="1980"/>
        <w:gridCol w:w="1980"/>
        <w:gridCol w:w="1980"/>
        <w:gridCol w:w="1980"/>
      </w:tblGrid>
      <w:tr>
        <w:trPr>
          <w:tblHeader w:val="on"/>
        </w:trPr>
        <w:tc>
          <w:tcPr/>
          <w:p>
            <w:pPr>
              <w:pStyle w:val="Compact"/>
              <w:jc w:val="left"/>
            </w:pPr>
            <w:r>
              <w:rPr>
                <w:b/>
                <w:bCs/>
              </w:rPr>
              <w:t xml:space="preserve">Architecture</w:t>
            </w:r>
          </w:p>
        </w:tc>
        <w:tc>
          <w:tcPr/>
          <w:p>
            <w:pPr>
              <w:pStyle w:val="Compact"/>
              <w:jc w:val="center"/>
            </w:pPr>
            <w:r>
              <w:rPr>
                <w:b/>
                <w:bCs/>
              </w:rPr>
              <w:t xml:space="preserve">Params (M)</w:t>
            </w:r>
          </w:p>
        </w:tc>
        <w:tc>
          <w:tcPr/>
          <w:p>
            <w:pPr>
              <w:pStyle w:val="Compact"/>
              <w:jc w:val="center"/>
            </w:pPr>
            <w:r>
              <w:rPr>
                <w:b/>
                <w:bCs/>
              </w:rPr>
              <w:t xml:space="preserve">F1 (%)</w:t>
            </w:r>
          </w:p>
        </w:tc>
        <w:tc>
          <w:tcPr/>
          <w:p>
            <w:pPr>
              <w:pStyle w:val="Compact"/>
              <w:jc w:val="center"/>
            </w:pPr>
            <w:r>
              <w:rPr>
                <w:b/>
                <w:bCs/>
              </w:rPr>
              <w:t xml:space="preserve">Reference</w:t>
            </w:r>
          </w:p>
        </w:tc>
      </w:tr>
      <w:tr>
        <w:tc>
          <w:tcPr/>
          <w:p>
            <w:pPr>
              <w:pStyle w:val="Compact"/>
              <w:jc w:val="left"/>
            </w:pPr>
            <w:r>
              <w:t xml:space="preserve">VGG16</w:t>
            </w:r>
          </w:p>
        </w:tc>
        <w:tc>
          <w:tcPr/>
          <w:p>
            <w:pPr>
              <w:pStyle w:val="Compact"/>
              <w:jc w:val="center"/>
            </w:pPr>
            <w:r>
              <w:t xml:space="preserve">138.4</w:t>
            </w:r>
          </w:p>
        </w:tc>
        <w:tc>
          <w:tcPr/>
          <w:p>
            <w:pPr>
              <w:pStyle w:val="Compact"/>
              <w:jc w:val="center"/>
            </w:pPr>
            <w:r>
              <w:t xml:space="preserve">96.2</w:t>
            </w:r>
            <m:oMath>
              <m:sSup>
                <m:e>
                  <m:r>
                    <m:t>​</m:t>
                  </m:r>
                </m:e>
                <m:sup>
                  <m:r>
                    <m:rPr>
                      <m:sty m:val="p"/>
                    </m:rPr>
                    <m:t>†</m:t>
                  </m:r>
                </m:sup>
              </m:sSup>
            </m:oMath>
          </w:p>
        </w:tc>
        <w:tc>
          <w:tcPr/>
          <w:p>
            <w:pPr>
              <w:pStyle w:val="Compact"/>
              <w:jc w:val="center"/>
            </w:pPr>
            <w:r>
              <w:t xml:space="preserve">(Ferentinos 2018)</w:t>
            </w:r>
          </w:p>
        </w:tc>
      </w:tr>
      <w:tr>
        <w:tc>
          <w:tcPr/>
          <w:p>
            <w:pPr>
              <w:pStyle w:val="Compact"/>
              <w:jc w:val="left"/>
            </w:pPr>
            <w:r>
              <w:t xml:space="preserve">ResNet50</w:t>
            </w:r>
          </w:p>
        </w:tc>
        <w:tc>
          <w:tcPr/>
          <w:p>
            <w:pPr>
              <w:pStyle w:val="Compact"/>
              <w:jc w:val="center"/>
            </w:pPr>
            <w:r>
              <w:t xml:space="preserve">25.6</w:t>
            </w:r>
          </w:p>
        </w:tc>
        <w:tc>
          <w:tcPr/>
          <w:p>
            <w:pPr>
              <w:pStyle w:val="Compact"/>
              <w:jc w:val="center"/>
            </w:pPr>
            <w:r>
              <w:t xml:space="preserve">97.1</w:t>
            </w:r>
            <m:oMath>
              <m:sSup>
                <m:e>
                  <m:r>
                    <m:t>​</m:t>
                  </m:r>
                </m:e>
                <m:sup>
                  <m:r>
                    <m:rPr>
                      <m:sty m:val="p"/>
                    </m:rPr>
                    <m:t>†</m:t>
                  </m:r>
                </m:sup>
              </m:sSup>
            </m:oMath>
          </w:p>
        </w:tc>
        <w:tc>
          <w:tcPr/>
          <w:p>
            <w:pPr>
              <w:pStyle w:val="Compact"/>
              <w:jc w:val="center"/>
            </w:pPr>
            <w:r>
              <w:t xml:space="preserve">(Ferentinos 2018)</w:t>
            </w:r>
          </w:p>
        </w:tc>
      </w:tr>
      <w:tr>
        <w:tc>
          <w:tcPr/>
          <w:p>
            <w:pPr>
              <w:pStyle w:val="Compact"/>
              <w:jc w:val="left"/>
            </w:pPr>
            <w:r>
              <w:t xml:space="preserve">MobileNetV2</w:t>
            </w:r>
          </w:p>
        </w:tc>
        <w:tc>
          <w:tcPr/>
          <w:p>
            <w:pPr>
              <w:pStyle w:val="Compact"/>
              <w:jc w:val="center"/>
            </w:pPr>
            <w:r>
              <w:t xml:space="preserve">3.4</w:t>
            </w:r>
          </w:p>
        </w:tc>
        <w:tc>
          <w:tcPr/>
          <w:p>
            <w:pPr>
              <w:pStyle w:val="Compact"/>
              <w:jc w:val="center"/>
            </w:pPr>
            <w:r>
              <w:t xml:space="preserve">94.8</w:t>
            </w:r>
            <m:oMath>
              <m:sSup>
                <m:e>
                  <m:r>
                    <m:t>​</m:t>
                  </m:r>
                </m:e>
                <m:sup>
                  <m:r>
                    <m:rPr>
                      <m:sty m:val="p"/>
                    </m:rPr>
                    <m:t>†</m:t>
                  </m:r>
                </m:sup>
              </m:sSup>
            </m:oMath>
          </w:p>
        </w:tc>
        <w:tc>
          <w:tcPr/>
          <w:p>
            <w:pPr>
              <w:pStyle w:val="Compact"/>
              <w:jc w:val="center"/>
            </w:pPr>
            <w:r>
              <w:t xml:space="preserve">(Kamilaris and Prenafeta-Boldú 2018)</w:t>
            </w:r>
          </w:p>
        </w:tc>
      </w:tr>
      <w:tr>
        <w:tc>
          <w:tcPr/>
          <w:p>
            <w:pPr>
              <w:pStyle w:val="Compact"/>
              <w:jc w:val="left"/>
            </w:pPr>
            <w:r>
              <w:t xml:space="preserve">InceptionV3</w:t>
            </w:r>
          </w:p>
        </w:tc>
        <w:tc>
          <w:tcPr/>
          <w:p>
            <w:pPr>
              <w:pStyle w:val="Compact"/>
              <w:jc w:val="center"/>
            </w:pPr>
            <w:r>
              <w:t xml:space="preserve">23.9</w:t>
            </w:r>
          </w:p>
        </w:tc>
        <w:tc>
          <w:tcPr/>
          <w:p>
            <w:pPr>
              <w:pStyle w:val="Compact"/>
              <w:jc w:val="center"/>
            </w:pPr>
            <w:r>
              <w:t xml:space="preserve">96.8</w:t>
            </w:r>
            <m:oMath>
              <m:sSup>
                <m:e>
                  <m:r>
                    <m:t>​</m:t>
                  </m:r>
                </m:e>
                <m:sup>
                  <m:r>
                    <m:rPr>
                      <m:sty m:val="p"/>
                    </m:rPr>
                    <m:t>†</m:t>
                  </m:r>
                </m:sup>
              </m:sSup>
            </m:oMath>
          </w:p>
        </w:tc>
        <w:tc>
          <w:tcPr/>
          <w:p>
            <w:pPr>
              <w:pStyle w:val="Compact"/>
              <w:jc w:val="center"/>
            </w:pPr>
            <w:r>
              <w:t xml:space="preserve">(Saleem et al. 2019)</w:t>
            </w:r>
          </w:p>
        </w:tc>
      </w:tr>
      <w:tr>
        <w:tc>
          <w:tcPr/>
          <w:p>
            <w:pPr>
              <w:pStyle w:val="Compact"/>
              <w:jc w:val="left"/>
            </w:pPr>
            <w:r>
              <w:rPr>
                <w:b/>
                <w:bCs/>
              </w:rPr>
              <w:t xml:space="preserve">EfficientNetB0</w:t>
            </w:r>
          </w:p>
        </w:tc>
        <w:tc>
          <w:tcPr/>
          <w:p>
            <w:pPr>
              <w:pStyle w:val="Compact"/>
              <w:jc w:val="center"/>
            </w:pPr>
            <w:r>
              <w:rPr>
                <w:b/>
                <w:bCs/>
              </w:rPr>
              <w:t xml:space="preserve">5.3</w:t>
            </w:r>
          </w:p>
        </w:tc>
        <w:tc>
          <w:tcPr/>
          <w:p>
            <w:pPr>
              <w:pStyle w:val="Compact"/>
              <w:jc w:val="center"/>
            </w:pPr>
            <w:r>
              <w:rPr>
                <w:b/>
                <w:bCs/>
              </w:rPr>
              <w:t xml:space="preserve">98.9</w:t>
            </w:r>
          </w:p>
        </w:tc>
        <w:tc>
          <w:tcPr/>
          <w:p>
            <w:pPr>
              <w:pStyle w:val="Compact"/>
              <w:jc w:val="center"/>
            </w:pPr>
            <w:r>
              <w:t xml:space="preserve">This work</w:t>
            </w:r>
          </w:p>
        </w:tc>
      </w:tr>
    </w:tbl>
    <w:p>
      <w:pPr>
        <w:pStyle w:val="BodyText"/>
        <w:jc w:val="both"/>
      </w:pPr>
      <w:r>
        <w:rPr>
          <w:rFonts w:ascii="Times New Roman" w:hAnsi="Times New Roman"/>
          <w:sz w:val="20"/>
        </w:rPr>
        <w:t xml:space="preserve">The comparisons in</w:t>
      </w:r>
      <w:r>
        <w:rPr>
          <w:rFonts w:ascii="Times New Roman" w:hAnsi="Times New Roman"/>
          <w:sz w:val="20"/>
        </w:rPr>
        <w:t xml:space="preserve"> </w:t>
      </w:r>
      <w:r>
        <w:rPr>
          <w:rFonts w:ascii="Times New Roman" w:hAnsi="Times New Roman"/>
          <w:sz w:val="20"/>
        </w:rPr>
        <w:t xml:space="preserve">Table </w:t>
      </w:r>
      <w:hyperlink w:anchor="tab:baseline_comparison">
        <w:r>
          <w:rPr>
            <w:rStyle w:val="Hyperlink"/>
          </w:rPr>
          <w:t xml:space="preserve">4</w:t>
        </w:r>
      </w:hyperlink>
      <w:r>
        <w:rPr>
          <w:rFonts w:ascii="Times New Roman" w:hAnsi="Times New Roman"/>
          <w:sz w:val="20"/>
        </w:rPr>
        <w:t xml:space="preserve"> </w:t>
      </w:r>
      <w:r>
        <w:rPr>
          <w:rFonts w:ascii="Times New Roman" w:hAnsi="Times New Roman"/>
          <w:sz w:val="20"/>
        </w:rPr>
        <w:t xml:space="preserve">should be interpreted with caution:</w:t>
      </w:r>
      <w:r>
        <w:rPr>
          <w:rFonts w:ascii="Times New Roman" w:hAnsi="Times New Roman"/>
          <w:sz w:val="20"/>
        </w:rPr>
        <w:t xml:space="preserve"> </w:t>
      </w:r>
      <w:r>
        <w:rPr>
          <w:rFonts w:ascii="Times New Roman" w:hAnsi="Times New Roman"/>
          <w:sz w:val="20"/>
        </w:rPr>
        <w:t xml:space="preserve">the cited F1 values come from different datasets and experimental</w:t>
      </w:r>
      <w:r>
        <w:rPr>
          <w:rFonts w:ascii="Times New Roman" w:hAnsi="Times New Roman"/>
          <w:sz w:val="20"/>
        </w:rPr>
        <w:t xml:space="preserve"> </w:t>
      </w:r>
      <w:r>
        <w:rPr>
          <w:rFonts w:ascii="Times New Roman" w:hAnsi="Times New Roman"/>
          <w:sz w:val="20"/>
        </w:rPr>
        <w:t xml:space="preserve">conditions, and a rigorous head-to-head comparison would require</w:t>
      </w:r>
      <w:r>
        <w:rPr>
          <w:rFonts w:ascii="Times New Roman" w:hAnsi="Times New Roman"/>
          <w:sz w:val="20"/>
        </w:rPr>
        <w:t xml:space="preserve"> </w:t>
      </w:r>
      <w:r>
        <w:rPr>
          <w:rFonts w:ascii="Times New Roman" w:hAnsi="Times New Roman"/>
          <w:sz w:val="20"/>
        </w:rPr>
        <w:t xml:space="preserve">retraining all baselines on the Pakruddin et al. dataset. Such a</w:t>
      </w:r>
      <w:r>
        <w:rPr>
          <w:rFonts w:ascii="Times New Roman" w:hAnsi="Times New Roman"/>
          <w:sz w:val="20"/>
        </w:rPr>
        <w:t xml:space="preserve"> </w:t>
      </w:r>
      <w:r>
        <w:rPr>
          <w:rFonts w:ascii="Times New Roman" w:hAnsi="Times New Roman"/>
          <w:sz w:val="20"/>
        </w:rPr>
        <w:t xml:space="preserve">comparison is planned for a subsequent extended version of this work.</w:t>
      </w:r>
      <w:r>
        <w:rPr>
          <w:rFonts w:ascii="Times New Roman" w:hAnsi="Times New Roman"/>
          <w:sz w:val="20"/>
        </w:rPr>
        <w:t xml:space="preserve"> </w:t>
      </w:r>
      <w:r>
        <w:rPr>
          <w:rFonts w:ascii="Times New Roman" w:hAnsi="Times New Roman"/>
          <w:sz w:val="20"/>
        </w:rPr>
        <w:t xml:space="preserve">The point stands, however, that EfficientNetB0 achieves competitive</w:t>
      </w:r>
      <w:r>
        <w:rPr>
          <w:rFonts w:ascii="Times New Roman" w:hAnsi="Times New Roman"/>
          <w:sz w:val="20"/>
        </w:rPr>
        <w:t xml:space="preserve"> </w:t>
      </w:r>
      <w:r>
        <w:rPr>
          <w:rFonts w:ascii="Times New Roman" w:hAnsi="Times New Roman"/>
          <w:sz w:val="20"/>
        </w:rPr>
        <w:t xml:space="preserve">disease classification with a parameter footprint 5.5</w:t>
      </w:r>
      <m:oMath>
        <m:r>
          <m:rPr>
            <m:sty m:val="p"/>
          </m:rPr>
          <m:t>×</m:t>
        </m:r>
      </m:oMath>
      <w:r>
        <w:rPr>
          <w:rFonts w:ascii="Times New Roman" w:hAnsi="Times New Roman"/>
          <w:sz w:val="20"/>
        </w:rPr>
        <w:t xml:space="preserve"> </w:t>
      </w:r>
      <w:r>
        <w:rPr>
          <w:rFonts w:ascii="Times New Roman" w:hAnsi="Times New Roman"/>
          <w:sz w:val="20"/>
        </w:rPr>
        <w:t xml:space="preserve">smaller</w:t>
      </w:r>
      <w:r>
        <w:rPr>
          <w:rFonts w:ascii="Times New Roman" w:hAnsi="Times New Roman"/>
          <w:sz w:val="20"/>
        </w:rPr>
        <w:t xml:space="preserve"> </w:t>
      </w:r>
      <w:r>
        <w:rPr>
          <w:rFonts w:ascii="Times New Roman" w:hAnsi="Times New Roman"/>
          <w:sz w:val="20"/>
        </w:rPr>
        <w:t xml:space="preserve">than InceptionV3 and 26</w:t>
      </w:r>
      <m:oMath>
        <m:r>
          <m:rPr>
            <m:sty m:val="p"/>
          </m:rPr>
          <m:t>×</m:t>
        </m:r>
      </m:oMath>
      <w:r>
        <w:rPr>
          <w:rFonts w:ascii="Times New Roman" w:hAnsi="Times New Roman"/>
          <w:sz w:val="20"/>
        </w:rPr>
        <w:t xml:space="preserve"> </w:t>
      </w:r>
      <w:r>
        <w:rPr>
          <w:rFonts w:ascii="Times New Roman" w:hAnsi="Times New Roman"/>
          <w:sz w:val="20"/>
        </w:rPr>
        <w:t xml:space="preserve">smaller than VGG16—a difference that</w:t>
      </w:r>
      <w:r>
        <w:rPr>
          <w:rFonts w:ascii="Times New Roman" w:hAnsi="Times New Roman"/>
          <w:sz w:val="20"/>
        </w:rPr>
        <w:t xml:space="preserve"> </w:t>
      </w:r>
      <w:r>
        <w:rPr>
          <w:rFonts w:ascii="Times New Roman" w:hAnsi="Times New Roman"/>
          <w:sz w:val="20"/>
        </w:rPr>
        <w:t xml:space="preserve">matters when the target inference platform progresses from GPU server to</w:t>
      </w:r>
      <w:r>
        <w:rPr>
          <w:rFonts w:ascii="Times New Roman" w:hAnsi="Times New Roman"/>
          <w:sz w:val="20"/>
        </w:rPr>
        <w:t xml:space="preserve"> </w:t>
      </w:r>
      <w:r>
        <w:rPr>
          <w:rFonts w:ascii="Times New Roman" w:hAnsi="Times New Roman"/>
          <w:sz w:val="20"/>
        </w:rPr>
        <w:t xml:space="preserve">Raspberry Pi.</w:t>
      </w:r>
    </w:p>
    <w:bookmarkEnd w:id="29"/>
    <w:bookmarkStart w:id="30" w:name="phytochemical-inference-validation"/>
    <w:p>
      <w:pPr>
        <w:pStyle w:val="Heading2"/>
      </w:pPr>
      <w:r>
        <w:t xml:space="preserve">Phytochemical Inference Validation</w:t>
      </w:r>
    </w:p>
    <w:p>
      <w:pPr>
        <w:pStyle w:val="FirstParagraph"/>
      </w:pPr>
      <w:r>
        <w:t xml:space="preserve">Formal quantitative validation of the phytochemical inference</w:t>
      </w:r>
      <w:r>
        <w:t xml:space="preserve"> </w:t>
      </w:r>
      <w:r>
        <w:t xml:space="preserve">layer—comparing ontology-inferred compound levels against laboratory</w:t>
      </w:r>
      <w:r>
        <w:t xml:space="preserve"> </w:t>
      </w:r>
      <w:r>
        <w:t xml:space="preserve">HPLC measurements from a held-out sample set—was not conducted in the</w:t>
      </w:r>
      <w:r>
        <w:t xml:space="preserve"> </w:t>
      </w:r>
      <w:r>
        <w:t xml:space="preserve">current work. The degradation coefficients in</w:t>
      </w:r>
      <w:r>
        <w:t xml:space="preserve"> </w:t>
      </w:r>
      <w:r>
        <w:t xml:space="preserve">Table </w:t>
      </w:r>
      <w:hyperlink w:anchor="tab:degradation_rules">
        <w:r>
          <w:rPr>
            <w:rStyle w:val="Hyperlink"/>
          </w:rPr>
          <w:t xml:space="preserve">1</w:t>
        </w:r>
      </w:hyperlink>
      <w:r>
        <w:t xml:space="preserve"> </w:t>
      </w:r>
      <w:r>
        <w:t xml:space="preserve">were derived from published</w:t>
      </w:r>
      <w:r>
        <w:t xml:space="preserve"> </w:t>
      </w:r>
      <w:r>
        <w:t xml:space="preserve">literature values (Sharma et al. 2017; Gil et al. 2000; Cerdá et al.</w:t>
      </w:r>
      <w:r>
        <w:t xml:space="preserve"> </w:t>
      </w:r>
      <w:r>
        <w:t xml:space="preserve">2005) and reviewed by domain experts at the Maharashtra Department of</w:t>
      </w:r>
      <w:r>
        <w:t xml:space="preserve"> </w:t>
      </w:r>
      <w:r>
        <w:t xml:space="preserve">Agriculture, but they have not been empirically validated against paired</w:t>
      </w:r>
      <w:r>
        <w:t xml:space="preserve"> </w:t>
      </w:r>
      <w:r>
        <w:t xml:space="preserve">image-HPLC measurements from the same fruit samples. This is an honest</w:t>
      </w:r>
      <w:r>
        <w:t xml:space="preserve"> </w:t>
      </w:r>
      <w:r>
        <w:t xml:space="preserve">and significant limitation. The phytochemical inference layer should be</w:t>
      </w:r>
      <w:r>
        <w:t xml:space="preserve"> </w:t>
      </w:r>
      <w:r>
        <w:t xml:space="preserve">treated as a literature-grounded estimate under the current validation</w:t>
      </w:r>
      <w:r>
        <w:t xml:space="preserve"> </w:t>
      </w:r>
      <w:r>
        <w:t xml:space="preserve">state, not as a calibrated sensor. A prospective validation</w:t>
      </w:r>
      <w:r>
        <w:t xml:space="preserve"> </w:t>
      </w:r>
      <w:r>
        <w:t xml:space="preserve">study—collecting paired image and HPLC data from the same Bhagwa</w:t>
      </w:r>
      <w:r>
        <w:t xml:space="preserve"> </w:t>
      </w:r>
      <w:r>
        <w:t xml:space="preserve">fruits—is the single highest-priority item for PomeGuard’s next</w:t>
      </w:r>
      <w:r>
        <w:t xml:space="preserve"> </w:t>
      </w:r>
      <w:r>
        <w:t xml:space="preserve">development phase.</w:t>
      </w:r>
    </w:p>
    <w:bookmarkEnd w:id="30"/>
    <w:bookmarkStart w:id="31" w:name="system-latency"/>
    <w:p>
      <w:pPr>
        <w:pStyle w:val="Heading2"/>
      </w:pPr>
      <w:r>
        <w:t xml:space="preserve">System Latency</w:t>
      </w:r>
    </w:p>
    <w:p>
      <w:pPr>
        <w:pStyle w:val="FirstParagraph"/>
      </w:pPr>
      <w:r>
        <w:t xml:space="preserve">End-to-end pipeline latency from image upload to scorecard delivery was</w:t>
      </w:r>
      <w:r>
        <w:t xml:space="preserve"> </w:t>
      </w:r>
      <w:r>
        <w:t xml:space="preserve">measured on a Python 3.10 server with a 4-core CPU and no GPU</w:t>
      </w:r>
      <w:r>
        <w:t xml:space="preserve"> </w:t>
      </w:r>
      <w:r>
        <w:t xml:space="preserve">acceleration (representative of the lowest expected deployment</w:t>
      </w:r>
      <w:r>
        <w:t xml:space="preserve"> </w:t>
      </w:r>
      <w:r>
        <w:t xml:space="preserve">configuration). Vision inference (model forward pass on a</w:t>
      </w:r>
      <w:r>
        <w:t xml:space="preserve"> </w:t>
      </w:r>
      <m:oMath>
        <m:r>
          <m:t>224</m:t>
        </m:r>
        <m:r>
          <m:rPr>
            <m:sty m:val="p"/>
          </m:rPr>
          <m:t>×</m:t>
        </m:r>
        <m:r>
          <m:t>224</m:t>
        </m:r>
      </m:oMath>
      <w:r>
        <w:t xml:space="preserve"> </w:t>
      </w:r>
      <w:r>
        <w:t xml:space="preserve">input tensor) takes approximately 80–120 ms. Environmental stress</w:t>
      </w:r>
      <w:r>
        <w:t xml:space="preserve"> </w:t>
      </w:r>
      <w:r>
        <w:t xml:space="preserve">classification is purely rule-based and takes under 1 ms. Ontology rule</w:t>
      </w:r>
      <w:r>
        <w:t xml:space="preserve"> </w:t>
      </w:r>
      <w:r>
        <w:t xml:space="preserve">evaluation is also rule-based in the current implementation and</w:t>
      </w:r>
      <w:r>
        <w:t xml:space="preserve"> </w:t>
      </w:r>
      <w:r>
        <w:t xml:space="preserve">completes in under 5 ms. PDF report generation via Playwright (launching</w:t>
      </w:r>
      <w:r>
        <w:t xml:space="preserve"> </w:t>
      </w:r>
      <w:r>
        <w:t xml:space="preserve">headless Chromium, rendering HTML, printing to PDF) is the dominant</w:t>
      </w:r>
      <w:r>
        <w:t xml:space="preserve"> </w:t>
      </w:r>
      <w:r>
        <w:t xml:space="preserve">latency contributor at 1.5–3.5 seconds per report. Total end-to-end</w:t>
      </w:r>
      <w:r>
        <w:t xml:space="preserve"> </w:t>
      </w:r>
      <w:r>
        <w:t xml:space="preserve">time from upload to downloadable PDF is therefore approximately</w:t>
      </w:r>
      <w:r>
        <w:t xml:space="preserve"> </w:t>
      </w:r>
      <w:r>
        <w:t xml:space="preserve">2–4 seconds under the test configuration. This is more than acceptable</w:t>
      </w:r>
      <w:r>
        <w:t xml:space="preserve"> </w:t>
      </w:r>
      <w:r>
        <w:t xml:space="preserve">for field decision-making; the Playwright PDF generation step is the</w:t>
      </w:r>
      <w:r>
        <w:t xml:space="preserve"> </w:t>
      </w:r>
      <w:r>
        <w:t xml:space="preserve">primary target for optimisation should sub-second delivery be required.</w:t>
      </w:r>
    </w:p>
    <w:bookmarkEnd w:id="31"/>
    <w:bookmarkStart w:id="32" w:name="frontend-usability"/>
    <w:p>
      <w:pPr>
        <w:pStyle w:val="Heading2"/>
      </w:pPr>
      <w:r>
        <w:t xml:space="preserve">Frontend Usability</w:t>
      </w:r>
    </w:p>
    <w:p>
      <w:pPr>
        <w:pStyle w:val="FirstParagraph"/>
      </w:pPr>
      <w:r>
        <w:t xml:space="preserve">The React 18 frontend implements a dark-mode-first design, selected for</w:t>
      </w:r>
      <w:r>
        <w:t xml:space="preserve"> </w:t>
      </w:r>
      <w:r>
        <w:t xml:space="preserve">battery efficiency and contrast legibility in direct sunlight. Key</w:t>
      </w:r>
      <w:r>
        <w:t xml:space="preserve"> </w:t>
      </w:r>
      <w:r>
        <w:t xml:space="preserve">components include an</w:t>
      </w:r>
      <w:r>
        <w:t xml:space="preserve"> </w:t>
      </w:r>
      <w:r>
        <w:rPr>
          <w:rStyle w:val="VerbatimChar"/>
        </w:rPr>
        <w:t xml:space="preserve">ImageUploader</w:t>
      </w:r>
      <w:r>
        <w:t xml:space="preserve"> </w:t>
      </w:r>
      <w:r>
        <w:t xml:space="preserve">with drag-and-drop and local</w:t>
      </w:r>
      <w:r>
        <w:t xml:space="preserve"> </w:t>
      </w:r>
      <w:r>
        <w:t xml:space="preserve">preview, a</w:t>
      </w:r>
      <w:r>
        <w:t xml:space="preserve"> </w:t>
      </w:r>
      <w:r>
        <w:rPr>
          <w:rStyle w:val="VerbatimChar"/>
        </w:rPr>
        <w:t xml:space="preserve">ResultsPanel</w:t>
      </w:r>
      <w:r>
        <w:t xml:space="preserve"> </w:t>
      </w:r>
      <w:r>
        <w:t xml:space="preserve">consolidating multi-agent outputs, a</w:t>
      </w:r>
      <w:r>
        <w:t xml:space="preserve"> </w:t>
      </w:r>
      <w:r>
        <w:rPr>
          <w:rStyle w:val="VerbatimChar"/>
        </w:rPr>
        <w:t xml:space="preserve">ScorecardGauge</w:t>
      </w:r>
      <w:r>
        <w:t xml:space="preserve"> </w:t>
      </w:r>
      <w:r>
        <w:t xml:space="preserve">rendering the 0–100 nutritional score via Recharts,</w:t>
      </w:r>
      <w:r>
        <w:t xml:space="preserve"> </w:t>
      </w:r>
      <w:r>
        <w:t xml:space="preserve">and an</w:t>
      </w:r>
      <w:r>
        <w:t xml:space="preserve"> </w:t>
      </w:r>
      <w:r>
        <w:rPr>
          <w:rStyle w:val="VerbatimChar"/>
        </w:rPr>
        <w:t xml:space="preserve">AdvisoryCard</w:t>
      </w:r>
      <w:r>
        <w:t xml:space="preserve"> </w:t>
      </w:r>
      <w:r>
        <w:t xml:space="preserve">displaying plain-English mitigation</w:t>
      </w:r>
      <w:r>
        <w:t xml:space="preserve"> </w:t>
      </w:r>
      <w:r>
        <w:t xml:space="preserve">recommendations. No formal usability evaluation was conducted in this</w:t>
      </w:r>
      <w:r>
        <w:t xml:space="preserve"> </w:t>
      </w:r>
      <w:r>
        <w:t xml:space="preserve">work; informal feedback from three domain-expert users was used to</w:t>
      </w:r>
      <w:r>
        <w:t xml:space="preserve"> </w:t>
      </w:r>
      <w:r>
        <w:t xml:space="preserve">iterate the interface layout. A structured usability evaluation with</w:t>
      </w:r>
      <w:r>
        <w:t xml:space="preserve"> </w:t>
      </w:r>
      <w:r>
        <w:t xml:space="preserve">farmer participants is planned for forthcoming field trials.</w:t>
      </w:r>
    </w:p>
    <w:bookmarkEnd w:id="32"/>
    <w:bookmarkEnd w:id="33"/>
    <w:bookmarkStart w:id="37" w:name="sec:discussion"/>
    <w:p>
      <w:pPr>
        <w:pStyle w:val="Heading1"/>
      </w:pPr>
      <w:r>
        <w:t xml:space="preserve">Discussion</w:t>
      </w:r>
    </w:p>
    <w:bookmarkStart w:id="34" w:name="X02ca78d1062dee1f39cafdcebd33d81f6180b9b"/>
    <w:p>
      <w:pPr>
        <w:pStyle w:val="Heading2"/>
      </w:pPr>
      <w:r>
        <w:t xml:space="preserve">Why Ontological Reasoning—Not a Regression Model</w:t>
      </w:r>
    </w:p>
    <w:p>
      <w:pPr>
        <w:pStyle w:val="FirstParagraph"/>
      </w:pPr>
      <w:r>
        <w:t xml:space="preserve">The most obvious question facing any reader of this paper is: why use a</w:t>
      </w:r>
      <w:r>
        <w:t xml:space="preserve"> </w:t>
      </w:r>
      <w:r>
        <w:t xml:space="preserve">hand-coded knowledge ontology for phytochemical inference when a trained</w:t>
      </w:r>
      <w:r>
        <w:t xml:space="preserve"> </w:t>
      </w:r>
      <w:r>
        <w:t xml:space="preserve">neural regression model could, in principle, learn compound levels from</w:t>
      </w:r>
      <w:r>
        <w:t xml:space="preserve"> </w:t>
      </w:r>
      <w:r>
        <w:t xml:space="preserve">images directly?</w:t>
      </w:r>
    </w:p>
    <w:p>
      <w:pPr>
        <w:pStyle w:val="BodyText"/>
        <w:jc w:val="both"/>
      </w:pPr>
      <w:r>
        <w:rPr>
          <w:rFonts w:ascii="Times New Roman" w:hAnsi="Times New Roman"/>
          <w:sz w:val="20"/>
        </w:rPr>
        <w:t xml:space="preserve">The answer has three parts.</w:t>
      </w:r>
    </w:p>
    <w:p>
      <w:pPr>
        <w:pStyle w:val="BodyText"/>
        <w:jc w:val="both"/>
      </w:pPr>
      <w:r>
        <w:rPr>
          <w:rFonts w:ascii="Times New Roman" w:hAnsi="Times New Roman"/>
          <w:sz w:val="20"/>
        </w:rPr>
        <w:t xml:space="preserve">First, the training data problem is severe. A regression model requires</w:t>
      </w:r>
      <w:r>
        <w:rPr>
          <w:rFonts w:ascii="Times New Roman" w:hAnsi="Times New Roman"/>
          <w:sz w:val="20"/>
        </w:rPr>
        <w:t xml:space="preserve"> </w:t>
      </w:r>
      <w:r>
        <w:rPr>
          <w:rFonts w:ascii="Times New Roman" w:hAnsi="Times New Roman"/>
          <w:sz w:val="20"/>
        </w:rPr>
        <w:t xml:space="preserve">labelled examples of the form (fruit image, compound level in mg/100 g).</w:t>
      </w:r>
      <w:r>
        <w:rPr>
          <w:rFonts w:ascii="Times New Roman" w:hAnsi="Times New Roman"/>
          <w:sz w:val="20"/>
        </w:rPr>
        <w:t xml:space="preserve"> </w:t>
      </w:r>
      <w:r>
        <w:rPr>
          <w:rFonts w:ascii="Times New Roman" w:hAnsi="Times New Roman"/>
          <w:sz w:val="20"/>
        </w:rPr>
        <w:t xml:space="preserve">Producing such labels demands HPLC analysis of the exact fruit</w:t>
      </w:r>
      <w:r>
        <w:rPr>
          <w:rFonts w:ascii="Times New Roman" w:hAnsi="Times New Roman"/>
          <w:sz w:val="20"/>
        </w:rPr>
        <w:t xml:space="preserve"> </w:t>
      </w:r>
      <w:r>
        <w:rPr>
          <w:rFonts w:ascii="Times New Roman" w:hAnsi="Times New Roman"/>
          <w:sz w:val="20"/>
        </w:rPr>
        <w:t xml:space="preserve">photographed—a destructive process requiring dedicated laboratory</w:t>
      </w:r>
      <w:r>
        <w:rPr>
          <w:rFonts w:ascii="Times New Roman" w:hAnsi="Times New Roman"/>
          <w:sz w:val="20"/>
        </w:rPr>
        <w:t xml:space="preserve"> </w:t>
      </w:r>
      <w:r>
        <w:rPr>
          <w:rFonts w:ascii="Times New Roman" w:hAnsi="Times New Roman"/>
          <w:sz w:val="20"/>
        </w:rPr>
        <w:t xml:space="preserve">facilities and experienced operators. Assembling even 500 such paired</w:t>
      </w:r>
      <w:r>
        <w:rPr>
          <w:rFonts w:ascii="Times New Roman" w:hAnsi="Times New Roman"/>
          <w:sz w:val="20"/>
        </w:rPr>
        <w:t xml:space="preserve"> </w:t>
      </w:r>
      <w:r>
        <w:rPr>
          <w:rFonts w:ascii="Times New Roman" w:hAnsi="Times New Roman"/>
          <w:sz w:val="20"/>
        </w:rPr>
        <w:t xml:space="preserve">samples from field-photographed pomegranates in Karnataka or Maharashtra</w:t>
      </w:r>
      <w:r>
        <w:rPr>
          <w:rFonts w:ascii="Times New Roman" w:hAnsi="Times New Roman"/>
          <w:sz w:val="20"/>
        </w:rPr>
        <w:t xml:space="preserve"> </w:t>
      </w:r>
      <w:r>
        <w:rPr>
          <w:rFonts w:ascii="Times New Roman" w:hAnsi="Times New Roman"/>
          <w:sz w:val="20"/>
        </w:rPr>
        <w:t xml:space="preserve">would cost approximately Rs. 6–12 lakhs in laboratory fees alone,</w:t>
      </w:r>
      <w:r>
        <w:rPr>
          <w:rFonts w:ascii="Times New Roman" w:hAnsi="Times New Roman"/>
          <w:sz w:val="20"/>
        </w:rPr>
        <w:t xml:space="preserve"> </w:t>
      </w:r>
      <w:r>
        <w:rPr>
          <w:rFonts w:ascii="Times New Roman" w:hAnsi="Times New Roman"/>
          <w:sz w:val="20"/>
        </w:rPr>
        <w:t xml:space="preserve">excluding field collection logistics. This data simply does not exist</w:t>
      </w:r>
      <w:r>
        <w:rPr>
          <w:rFonts w:ascii="Times New Roman" w:hAnsi="Times New Roman"/>
          <w:sz w:val="20"/>
        </w:rPr>
        <w:t xml:space="preserve"> </w:t>
      </w:r>
      <w:r>
        <w:rPr>
          <w:rFonts w:ascii="Times New Roman" w:hAnsi="Times New Roman"/>
          <w:sz w:val="20"/>
        </w:rPr>
        <w:t xml:space="preserve">for Bhagwa pomegranate at the scale required for supervised regression</w:t>
      </w:r>
      <w:r>
        <w:rPr>
          <w:rFonts w:ascii="Times New Roman" w:hAnsi="Times New Roman"/>
          <w:sz w:val="20"/>
        </w:rPr>
        <w:t xml:space="preserve"> </w:t>
      </w:r>
      <w:r>
        <w:rPr>
          <w:rFonts w:ascii="Times New Roman" w:hAnsi="Times New Roman"/>
          <w:sz w:val="20"/>
        </w:rPr>
        <w:t xml:space="preserve">generalisation. The ontology approach, by contrast, can encode existing</w:t>
      </w:r>
      <w:r>
        <w:rPr>
          <w:rFonts w:ascii="Times New Roman" w:hAnsi="Times New Roman"/>
          <w:sz w:val="20"/>
        </w:rPr>
        <w:t xml:space="preserve"> </w:t>
      </w:r>
      <w:r>
        <w:rPr>
          <w:rFonts w:ascii="Times New Roman" w:hAnsi="Times New Roman"/>
          <w:sz w:val="20"/>
        </w:rPr>
        <w:t xml:space="preserve">biochemical knowledge from the published literature in days, with domain</w:t>
      </w:r>
      <w:r>
        <w:rPr>
          <w:rFonts w:ascii="Times New Roman" w:hAnsi="Times New Roman"/>
          <w:sz w:val="20"/>
        </w:rPr>
        <w:t xml:space="preserve"> </w:t>
      </w:r>
      <w:r>
        <w:rPr>
          <w:rFonts w:ascii="Times New Roman" w:hAnsi="Times New Roman"/>
          <w:sz w:val="20"/>
        </w:rPr>
        <w:t xml:space="preserve">expert review, and produces immediate utility without any labelled</w:t>
      </w:r>
      <w:r>
        <w:rPr>
          <w:rFonts w:ascii="Times New Roman" w:hAnsi="Times New Roman"/>
          <w:sz w:val="20"/>
        </w:rPr>
        <w:t xml:space="preserve"> </w:t>
      </w:r>
      <w:r>
        <w:rPr>
          <w:rFonts w:ascii="Times New Roman" w:hAnsi="Times New Roman"/>
          <w:sz w:val="20"/>
        </w:rPr>
        <w:t xml:space="preserve">phytochemical training data.</w:t>
      </w:r>
    </w:p>
    <w:p>
      <w:pPr>
        <w:pStyle w:val="BodyText"/>
        <w:jc w:val="both"/>
      </w:pPr>
      <w:r>
        <w:rPr>
          <w:rFonts w:ascii="Times New Roman" w:hAnsi="Times New Roman"/>
          <w:sz w:val="20"/>
        </w:rPr>
        <w:t xml:space="preserve">Second, the interpretability argument is decisive for this deployment</w:t>
      </w:r>
      <w:r>
        <w:rPr>
          <w:rFonts w:ascii="Times New Roman" w:hAnsi="Times New Roman"/>
          <w:sz w:val="20"/>
        </w:rPr>
        <w:t xml:space="preserve"> </w:t>
      </w:r>
      <w:r>
        <w:rPr>
          <w:rFonts w:ascii="Times New Roman" w:hAnsi="Times New Roman"/>
          <w:sz w:val="20"/>
        </w:rPr>
        <w:t xml:space="preserve">context. When the Ontology Agent tells an agronomist that a Bacterial</w:t>
      </w:r>
      <w:r>
        <w:rPr>
          <w:rFonts w:ascii="Times New Roman" w:hAnsi="Times New Roman"/>
          <w:sz w:val="20"/>
        </w:rPr>
        <w:t xml:space="preserve"> </w:t>
      </w:r>
      <w:r>
        <w:rPr>
          <w:rFonts w:ascii="Times New Roman" w:hAnsi="Times New Roman"/>
          <w:sz w:val="20"/>
        </w:rPr>
        <w:t xml:space="preserve">Blight infection at Severe severity is predicted to reduce Anthocyanin</w:t>
      </w:r>
      <w:r>
        <w:rPr>
          <w:rFonts w:ascii="Times New Roman" w:hAnsi="Times New Roman"/>
          <w:sz w:val="20"/>
        </w:rPr>
        <w:t xml:space="preserve"> </w:t>
      </w:r>
      <w:r>
        <w:rPr>
          <w:rFonts w:ascii="Times New Roman" w:hAnsi="Times New Roman"/>
          <w:sz w:val="20"/>
        </w:rPr>
        <w:t xml:space="preserve">concentration by 40%, the agronomist can audit that claim—trace it to</w:t>
      </w:r>
      <w:r>
        <w:rPr>
          <w:rFonts w:ascii="Times New Roman" w:hAnsi="Times New Roman"/>
          <w:sz w:val="20"/>
        </w:rPr>
        <w:t xml:space="preserve"> </w:t>
      </w:r>
      <w:r>
        <w:rPr>
          <w:rFonts w:ascii="Times New Roman" w:hAnsi="Times New Roman"/>
          <w:sz w:val="20"/>
        </w:rPr>
        <w:t xml:space="preserve">the degradation rule, to the published literature value it encodes, to</w:t>
      </w:r>
      <w:r>
        <w:rPr>
          <w:rFonts w:ascii="Times New Roman" w:hAnsi="Times New Roman"/>
          <w:sz w:val="20"/>
        </w:rPr>
        <w:t xml:space="preserve"> </w:t>
      </w:r>
      <w:r>
        <w:rPr>
          <w:rFonts w:ascii="Times New Roman" w:hAnsi="Times New Roman"/>
          <w:sz w:val="20"/>
        </w:rPr>
        <w:t xml:space="preserve">the domain expert who reviewed it. A regression model would produce a</w:t>
      </w:r>
      <w:r>
        <w:rPr>
          <w:rFonts w:ascii="Times New Roman" w:hAnsi="Times New Roman"/>
          <w:sz w:val="20"/>
        </w:rPr>
        <w:t xml:space="preserve"> </w:t>
      </w:r>
      <w:r>
        <w:rPr>
          <w:rFonts w:ascii="Times New Roman" w:hAnsi="Times New Roman"/>
          <w:sz w:val="20"/>
        </w:rPr>
        <w:t xml:space="preserve">number from a black box. In advisory contexts where consequences include</w:t>
      </w:r>
      <w:r>
        <w:rPr>
          <w:rFonts w:ascii="Times New Roman" w:hAnsi="Times New Roman"/>
          <w:sz w:val="20"/>
        </w:rPr>
        <w:t xml:space="preserve"> </w:t>
      </w:r>
      <w:r>
        <w:rPr>
          <w:rFonts w:ascii="Times New Roman" w:hAnsi="Times New Roman"/>
          <w:sz w:val="20"/>
        </w:rPr>
        <w:t xml:space="preserve">economically significant harvest decisions, farmers and extension</w:t>
      </w:r>
      <w:r>
        <w:rPr>
          <w:rFonts w:ascii="Times New Roman" w:hAnsi="Times New Roman"/>
          <w:sz w:val="20"/>
        </w:rPr>
        <w:t xml:space="preserve"> </w:t>
      </w:r>
      <w:r>
        <w:rPr>
          <w:rFonts w:ascii="Times New Roman" w:hAnsi="Times New Roman"/>
          <w:sz w:val="20"/>
        </w:rPr>
        <w:t xml:space="preserve">officers have understandable and legitimate preferences for reasoning</w:t>
      </w:r>
      <w:r>
        <w:rPr>
          <w:rFonts w:ascii="Times New Roman" w:hAnsi="Times New Roman"/>
          <w:sz w:val="20"/>
        </w:rPr>
        <w:t xml:space="preserve"> </w:t>
      </w:r>
      <w:r>
        <w:rPr>
          <w:rFonts w:ascii="Times New Roman" w:hAnsi="Times New Roman"/>
          <w:sz w:val="20"/>
        </w:rPr>
        <w:t xml:space="preserve">they can interrogate. The decision to use symbolic reasoning rather than</w:t>
      </w:r>
      <w:r>
        <w:rPr>
          <w:rFonts w:ascii="Times New Roman" w:hAnsi="Times New Roman"/>
          <w:sz w:val="20"/>
        </w:rPr>
        <w:t xml:space="preserve"> </w:t>
      </w:r>
      <w:r>
        <w:rPr>
          <w:rFonts w:ascii="Times New Roman" w:hAnsi="Times New Roman"/>
          <w:sz w:val="20"/>
        </w:rPr>
        <w:t xml:space="preserve">a second trained model was deliberate and, we believe, correct for this</w:t>
      </w:r>
      <w:r>
        <w:rPr>
          <w:rFonts w:ascii="Times New Roman" w:hAnsi="Times New Roman"/>
          <w:sz w:val="20"/>
        </w:rPr>
        <w:t xml:space="preserve"> </w:t>
      </w:r>
      <w:r>
        <w:rPr>
          <w:rFonts w:ascii="Times New Roman" w:hAnsi="Times New Roman"/>
          <w:sz w:val="20"/>
        </w:rPr>
        <w:t xml:space="preserve">deployment context.</w:t>
      </w:r>
    </w:p>
    <w:p>
      <w:pPr>
        <w:pStyle w:val="BodyText"/>
        <w:jc w:val="both"/>
      </w:pPr>
      <w:r>
        <w:rPr>
          <w:rFonts w:ascii="Times New Roman" w:hAnsi="Times New Roman"/>
          <w:sz w:val="20"/>
        </w:rPr>
        <w:t xml:space="preserve">Third, the rule composition property of ontologies handles novel</w:t>
      </w:r>
      <w:r>
        <w:rPr>
          <w:rFonts w:ascii="Times New Roman" w:hAnsi="Times New Roman"/>
          <w:sz w:val="20"/>
        </w:rPr>
        <w:t xml:space="preserve"> </w:t>
      </w:r>
      <w:r>
        <w:rPr>
          <w:rFonts w:ascii="Times New Roman" w:hAnsi="Times New Roman"/>
          <w:sz w:val="20"/>
        </w:rPr>
        <w:t xml:space="preserve">disease-stressor combinations gracefully. If a new fungal species is</w:t>
      </w:r>
      <w:r>
        <w:rPr>
          <w:rFonts w:ascii="Times New Roman" w:hAnsi="Times New Roman"/>
          <w:sz w:val="20"/>
        </w:rPr>
        <w:t xml:space="preserve"> </w:t>
      </w:r>
      <w:r>
        <w:rPr>
          <w:rFonts w:ascii="Times New Roman" w:hAnsi="Times New Roman"/>
          <w:sz w:val="20"/>
        </w:rPr>
        <w:t xml:space="preserve">identified in Maharashtra farms, adding a degradation rule for that</w:t>
      </w:r>
      <w:r>
        <w:rPr>
          <w:rFonts w:ascii="Times New Roman" w:hAnsi="Times New Roman"/>
          <w:sz w:val="20"/>
        </w:rPr>
        <w:t xml:space="preserve"> </w:t>
      </w:r>
      <w:r>
        <w:rPr>
          <w:rFonts w:ascii="Times New Roman" w:hAnsi="Times New Roman"/>
          <w:sz w:val="20"/>
        </w:rPr>
        <w:t xml:space="preserve">species requires editing one data file, not retraining a model. This</w:t>
      </w:r>
      <w:r>
        <w:rPr>
          <w:rFonts w:ascii="Times New Roman" w:hAnsi="Times New Roman"/>
          <w:sz w:val="20"/>
        </w:rPr>
        <w:t xml:space="preserve"> </w:t>
      </w:r>
      <w:r>
        <w:rPr>
          <w:rFonts w:ascii="Times New Roman" w:hAnsi="Times New Roman"/>
          <w:sz w:val="20"/>
        </w:rPr>
        <w:t xml:space="preserve">editability—by agronomists, not ML engineers—is a genuine</w:t>
      </w:r>
      <w:r>
        <w:rPr>
          <w:rFonts w:ascii="Times New Roman" w:hAnsi="Times New Roman"/>
          <w:sz w:val="20"/>
        </w:rPr>
        <w:t xml:space="preserve"> </w:t>
      </w:r>
      <w:r>
        <w:rPr>
          <w:rFonts w:ascii="Times New Roman" w:hAnsi="Times New Roman"/>
          <w:sz w:val="20"/>
        </w:rPr>
        <w:t xml:space="preserve">operational advantage.</w:t>
      </w:r>
    </w:p>
    <w:p>
      <w:pPr>
        <w:pStyle w:val="BodyText"/>
        <w:jc w:val="both"/>
      </w:pPr>
      <w:r>
        <w:rPr>
          <w:rFonts w:ascii="Times New Roman" w:hAnsi="Times New Roman"/>
          <w:sz w:val="20"/>
        </w:rPr>
        <w:t xml:space="preserve">The honest limitation: a well-calibrated regression model trained on</w:t>
      </w:r>
      <w:r>
        <w:rPr>
          <w:rFonts w:ascii="Times New Roman" w:hAnsi="Times New Roman"/>
          <w:sz w:val="20"/>
        </w:rPr>
        <w:t xml:space="preserve"> </w:t>
      </w:r>
      <w:r>
        <w:rPr>
          <w:rFonts w:ascii="Times New Roman" w:hAnsi="Times New Roman"/>
          <w:sz w:val="20"/>
        </w:rPr>
        <w:t xml:space="preserve">sufficient paired image-HPLC data would eventually surpass</w:t>
      </w:r>
      <w:r>
        <w:rPr>
          <w:rFonts w:ascii="Times New Roman" w:hAnsi="Times New Roman"/>
          <w:sz w:val="20"/>
        </w:rPr>
        <w:t xml:space="preserve"> </w:t>
      </w:r>
      <w:r>
        <w:rPr>
          <w:rFonts w:ascii="Times New Roman" w:hAnsi="Times New Roman"/>
          <w:sz w:val="20"/>
        </w:rPr>
        <w:t xml:space="preserve">ontology-based inference in both accuracy and generalisation. The</w:t>
      </w:r>
      <w:r>
        <w:rPr>
          <w:rFonts w:ascii="Times New Roman" w:hAnsi="Times New Roman"/>
          <w:sz w:val="20"/>
        </w:rPr>
        <w:t xml:space="preserve"> </w:t>
      </w:r>
      <w:r>
        <w:rPr>
          <w:rFonts w:ascii="Times New Roman" w:hAnsi="Times New Roman"/>
          <w:sz w:val="20"/>
        </w:rPr>
        <w:t xml:space="preserve">ontological approach has a hard accuracy ceiling set by the completeness</w:t>
      </w:r>
      <w:r>
        <w:rPr>
          <w:rFonts w:ascii="Times New Roman" w:hAnsi="Times New Roman"/>
          <w:sz w:val="20"/>
        </w:rPr>
        <w:t xml:space="preserve"> </w:t>
      </w:r>
      <w:r>
        <w:rPr>
          <w:rFonts w:ascii="Times New Roman" w:hAnsi="Times New Roman"/>
          <w:sz w:val="20"/>
        </w:rPr>
        <w:t xml:space="preserve">and correctness of the encoded rules. As computational food-science</w:t>
      </w:r>
      <w:r>
        <w:rPr>
          <w:rFonts w:ascii="Times New Roman" w:hAnsi="Times New Roman"/>
          <w:sz w:val="20"/>
        </w:rPr>
        <w:t xml:space="preserve"> </w:t>
      </w:r>
      <w:r>
        <w:rPr>
          <w:rFonts w:ascii="Times New Roman" w:hAnsi="Times New Roman"/>
          <w:sz w:val="20"/>
        </w:rPr>
        <w:t xml:space="preserve">datasets mature, the right long-term trajectory for this system is</w:t>
      </w:r>
      <w:r>
        <w:rPr>
          <w:rFonts w:ascii="Times New Roman" w:hAnsi="Times New Roman"/>
          <w:sz w:val="20"/>
        </w:rPr>
        <w:t xml:space="preserve"> </w:t>
      </w:r>
      <w:r>
        <w:rPr>
          <w:rFonts w:ascii="Times New Roman" w:hAnsi="Times New Roman"/>
          <w:sz w:val="20"/>
        </w:rPr>
        <w:t xml:space="preserve">probably a neuro-symbolic hybrid that uses the ontology as a prior and</w:t>
      </w:r>
      <w:r>
        <w:rPr>
          <w:rFonts w:ascii="Times New Roman" w:hAnsi="Times New Roman"/>
          <w:sz w:val="20"/>
        </w:rPr>
        <w:t xml:space="preserve"> </w:t>
      </w:r>
      <w:r>
        <w:rPr>
          <w:rFonts w:ascii="Times New Roman" w:hAnsi="Times New Roman"/>
          <w:sz w:val="20"/>
        </w:rPr>
        <w:t xml:space="preserve">updates it with empirical measurements.</w:t>
      </w:r>
    </w:p>
    <w:bookmarkEnd w:id="34"/>
    <w:bookmarkStart w:id="35" w:name="multi-agent-design-rationale"/>
    <w:p>
      <w:pPr>
        <w:pStyle w:val="Heading2"/>
      </w:pPr>
      <w:r>
        <w:t xml:space="preserve">Multi-Agent Design Rationale</w:t>
      </w:r>
    </w:p>
    <w:p>
      <w:pPr>
        <w:pStyle w:val="FirstParagraph"/>
      </w:pPr>
      <w:r>
        <w:t xml:space="preserve">LangGraph is not the simplest possible implementation for a four-step</w:t>
      </w:r>
      <w:r>
        <w:t xml:space="preserve"> </w:t>
      </w:r>
      <w:r>
        <w:t xml:space="preserve">sequential pipeline. A single FastAPI route that calls four functions in</w:t>
      </w:r>
      <w:r>
        <w:t xml:space="preserve"> </w:t>
      </w:r>
      <w:r>
        <w:t xml:space="preserve">sequence would be significantly less code. Why add the orchestration</w:t>
      </w:r>
      <w:r>
        <w:t xml:space="preserve"> </w:t>
      </w:r>
      <w:r>
        <w:t xml:space="preserve">layer?</w:t>
      </w:r>
    </w:p>
    <w:p>
      <w:pPr>
        <w:pStyle w:val="BodyText"/>
        <w:jc w:val="both"/>
      </w:pPr>
      <w:r>
        <w:rPr>
          <w:rFonts w:ascii="Times New Roman" w:hAnsi="Times New Roman"/>
          <w:sz w:val="20"/>
        </w:rPr>
        <w:t xml:space="preserve">Modularity is one reason. When the vision model is retrained on new</w:t>
      </w:r>
      <w:r>
        <w:rPr>
          <w:rFonts w:ascii="Times New Roman" w:hAnsi="Times New Roman"/>
          <w:sz w:val="20"/>
        </w:rPr>
        <w:t xml:space="preserve"> </w:t>
      </w:r>
      <w:r>
        <w:rPr>
          <w:rFonts w:ascii="Times New Roman" w:hAnsi="Times New Roman"/>
          <w:sz w:val="20"/>
        </w:rPr>
        <w:t xml:space="preserve">data, only</w:t>
      </w:r>
      <w:r>
        <w:rPr>
          <w:rFonts w:ascii="Times New Roman" w:hAnsi="Times New Roman"/>
          <w:sz w:val="20"/>
        </w:rPr>
        <w:t xml:space="preserve"> </w:t>
      </w:r>
      <w:r>
        <w:rPr>
          <w:rStyle w:val="VerbatimChar"/>
          <w:rFonts w:ascii="Times New Roman" w:hAnsi="Times New Roman"/>
          <w:sz w:val="20"/>
        </w:rPr>
        <w:t xml:space="preserve">vision_node</w:t>
      </w:r>
      <w:r>
        <w:rPr>
          <w:rFonts w:ascii="Times New Roman" w:hAnsi="Times New Roman"/>
          <w:sz w:val="20"/>
        </w:rPr>
        <w:t xml:space="preserve"> </w:t>
      </w:r>
      <w:r>
        <w:rPr>
          <w:rFonts w:ascii="Times New Roman" w:hAnsi="Times New Roman"/>
          <w:sz w:val="20"/>
        </w:rPr>
        <w:t xml:space="preserve">changes. When the Maharashtra Department of</w:t>
      </w:r>
      <w:r>
        <w:rPr>
          <w:rFonts w:ascii="Times New Roman" w:hAnsi="Times New Roman"/>
          <w:sz w:val="20"/>
        </w:rPr>
        <w:t xml:space="preserve"> </w:t>
      </w:r>
      <w:r>
        <w:rPr>
          <w:rFonts w:ascii="Times New Roman" w:hAnsi="Times New Roman"/>
          <w:sz w:val="20"/>
        </w:rPr>
        <w:t xml:space="preserve">Agriculture updates the disease-compound coefficient for Cercospora,</w:t>
      </w:r>
      <w:r>
        <w:rPr>
          <w:rFonts w:ascii="Times New Roman" w:hAnsi="Times New Roman"/>
          <w:sz w:val="20"/>
        </w:rPr>
        <w:t xml:space="preserve"> </w:t>
      </w:r>
      <w:r>
        <w:rPr>
          <w:rFonts w:ascii="Times New Roman" w:hAnsi="Times New Roman"/>
          <w:sz w:val="20"/>
        </w:rPr>
        <w:t xml:space="preserve">only the Ontology Agent’s rule table changes. The StateGraph abstraction</w:t>
      </w:r>
      <w:r>
        <w:rPr>
          <w:rFonts w:ascii="Times New Roman" w:hAnsi="Times New Roman"/>
          <w:sz w:val="20"/>
        </w:rPr>
        <w:t xml:space="preserve"> </w:t>
      </w:r>
      <w:r>
        <w:rPr>
          <w:rFonts w:ascii="Times New Roman" w:hAnsi="Times New Roman"/>
          <w:sz w:val="20"/>
        </w:rPr>
        <w:t xml:space="preserve">enforces these boundaries in the code architecture, preventing the slow</w:t>
      </w:r>
      <w:r>
        <w:rPr>
          <w:rFonts w:ascii="Times New Roman" w:hAnsi="Times New Roman"/>
          <w:sz w:val="20"/>
        </w:rPr>
        <w:t xml:space="preserve"> </w:t>
      </w:r>
      <w:r>
        <w:rPr>
          <w:rFonts w:ascii="Times New Roman" w:hAnsi="Times New Roman"/>
          <w:sz w:val="20"/>
        </w:rPr>
        <w:t xml:space="preserve">accumulation of cross-cutting modifications that characterises</w:t>
      </w:r>
      <w:r>
        <w:rPr>
          <w:rFonts w:ascii="Times New Roman" w:hAnsi="Times New Roman"/>
          <w:sz w:val="20"/>
        </w:rPr>
        <w:t xml:space="preserve"> </w:t>
      </w:r>
      <w:r>
        <w:rPr>
          <w:rFonts w:ascii="Times New Roman" w:hAnsi="Times New Roman"/>
          <w:sz w:val="20"/>
        </w:rPr>
        <w:t xml:space="preserve">monolithic inference pipelines over time.</w:t>
      </w:r>
    </w:p>
    <w:p>
      <w:pPr>
        <w:pStyle w:val="BodyText"/>
        <w:jc w:val="both"/>
      </w:pPr>
      <w:r>
        <w:rPr>
          <w:rFonts w:ascii="Times New Roman" w:hAnsi="Times New Roman"/>
          <w:sz w:val="20"/>
        </w:rPr>
        <w:t xml:space="preserve">Fault isolation is another. If the Ontology Agent raises an</w:t>
      </w:r>
      <w:r>
        <w:rPr>
          <w:rFonts w:ascii="Times New Roman" w:hAnsi="Times New Roman"/>
          <w:sz w:val="20"/>
        </w:rPr>
        <w:t xml:space="preserve"> </w:t>
      </w:r>
      <w:r>
        <w:rPr>
          <w:rFonts w:ascii="Times New Roman" w:hAnsi="Times New Roman"/>
          <w:sz w:val="20"/>
        </w:rPr>
        <w:t xml:space="preserve">exception—because a disease label arrived that has no rule</w:t>
      </w:r>
      <w:r>
        <w:rPr>
          <w:rFonts w:ascii="Times New Roman" w:hAnsi="Times New Roman"/>
          <w:sz w:val="20"/>
        </w:rPr>
        <w:t xml:space="preserve"> </w:t>
      </w:r>
      <w:r>
        <w:rPr>
          <w:rFonts w:ascii="Times New Roman" w:hAnsi="Times New Roman"/>
          <w:sz w:val="20"/>
        </w:rPr>
        <w:t xml:space="preserve">configured—the checkpoint mechanism ensures that the Vision Agent’s</w:t>
      </w:r>
      <w:r>
        <w:rPr>
          <w:rFonts w:ascii="Times New Roman" w:hAnsi="Times New Roman"/>
          <w:sz w:val="20"/>
        </w:rPr>
        <w:t xml:space="preserve"> </w:t>
      </w:r>
      <w:r>
        <w:rPr>
          <w:rFonts w:ascii="Times New Roman" w:hAnsi="Times New Roman"/>
          <w:sz w:val="20"/>
        </w:rPr>
        <w:t xml:space="preserve">output is not lost. On retry, the pipeline resumes from the Ontology</w:t>
      </w:r>
      <w:r>
        <w:rPr>
          <w:rFonts w:ascii="Times New Roman" w:hAnsi="Times New Roman"/>
          <w:sz w:val="20"/>
        </w:rPr>
        <w:t xml:space="preserve"> </w:t>
      </w:r>
      <w:r>
        <w:rPr>
          <w:rFonts w:ascii="Times New Roman" w:hAnsi="Times New Roman"/>
          <w:sz w:val="20"/>
        </w:rPr>
        <w:t xml:space="preserve">node, not from image ingestion. For a system intended to run on</w:t>
      </w:r>
      <w:r>
        <w:rPr>
          <w:rFonts w:ascii="Times New Roman" w:hAnsi="Times New Roman"/>
          <w:sz w:val="20"/>
        </w:rPr>
        <w:t xml:space="preserve"> </w:t>
      </w:r>
      <w:r>
        <w:rPr>
          <w:rFonts w:ascii="Times New Roman" w:hAnsi="Times New Roman"/>
          <w:sz w:val="20"/>
        </w:rPr>
        <w:t xml:space="preserve">intermittent rural field connections, where dropped requests are normal</w:t>
      </w:r>
      <w:r>
        <w:rPr>
          <w:rFonts w:ascii="Times New Roman" w:hAnsi="Times New Roman"/>
          <w:sz w:val="20"/>
        </w:rPr>
        <w:t xml:space="preserve"> </w:t>
      </w:r>
      <w:r>
        <w:rPr>
          <w:rFonts w:ascii="Times New Roman" w:hAnsi="Times New Roman"/>
          <w:sz w:val="20"/>
        </w:rPr>
        <w:t xml:space="preserve">rather than exceptional, this is a practical design requirement.</w:t>
      </w:r>
    </w:p>
    <w:p>
      <w:pPr>
        <w:pStyle w:val="BodyText"/>
        <w:jc w:val="both"/>
      </w:pPr>
      <w:r>
        <w:rPr>
          <w:rFonts w:ascii="Times New Roman" w:hAnsi="Times New Roman"/>
          <w:sz w:val="20"/>
        </w:rPr>
        <w:t xml:space="preserve">The deeper reason is extensibility. The architectural vision for</w:t>
      </w:r>
      <w:r>
        <w:rPr>
          <w:rFonts w:ascii="Times New Roman" w:hAnsi="Times New Roman"/>
          <w:sz w:val="20"/>
        </w:rPr>
        <w:t xml:space="preserve"> </w:t>
      </w:r>
      <w:r>
        <w:rPr>
          <w:rFonts w:ascii="Times New Roman" w:hAnsi="Times New Roman"/>
          <w:sz w:val="20"/>
        </w:rPr>
        <w:t xml:space="preserve">PomeGuard includes a satellite imagery agent for field-level disease</w:t>
      </w:r>
      <w:r>
        <w:rPr>
          <w:rFonts w:ascii="Times New Roman" w:hAnsi="Times New Roman"/>
          <w:sz w:val="20"/>
        </w:rPr>
        <w:t xml:space="preserve"> </w:t>
      </w:r>
      <w:r>
        <w:rPr>
          <w:rFonts w:ascii="Times New Roman" w:hAnsi="Times New Roman"/>
          <w:sz w:val="20"/>
        </w:rPr>
        <w:t xml:space="preserve">spread mapping, a WhatsApp Bot delivery agent for low-connectivity</w:t>
      </w:r>
      <w:r>
        <w:rPr>
          <w:rFonts w:ascii="Times New Roman" w:hAnsi="Times New Roman"/>
          <w:sz w:val="20"/>
        </w:rPr>
        <w:t xml:space="preserve"> </w:t>
      </w:r>
      <w:r>
        <w:rPr>
          <w:rFonts w:ascii="Times New Roman" w:hAnsi="Times New Roman"/>
          <w:sz w:val="20"/>
        </w:rPr>
        <w:t xml:space="preserve">farmers, and a multilingual report generation agent for Marathi and</w:t>
      </w:r>
      <w:r>
        <w:rPr>
          <w:rFonts w:ascii="Times New Roman" w:hAnsi="Times New Roman"/>
          <w:sz w:val="20"/>
        </w:rPr>
        <w:t xml:space="preserve"> </w:t>
      </w:r>
      <w:r>
        <w:rPr>
          <w:rFonts w:ascii="Times New Roman" w:hAnsi="Times New Roman"/>
          <w:sz w:val="20"/>
        </w:rPr>
        <w:t xml:space="preserve">Hindi advisory text. Each of these is a new node in the StateGraph.</w:t>
      </w:r>
      <w:r>
        <w:rPr>
          <w:rFonts w:ascii="Times New Roman" w:hAnsi="Times New Roman"/>
          <w:sz w:val="20"/>
        </w:rPr>
        <w:t xml:space="preserve"> </w:t>
      </w:r>
      <w:r>
        <w:rPr>
          <w:rFonts w:ascii="Times New Roman" w:hAnsi="Times New Roman"/>
          <w:sz w:val="20"/>
        </w:rPr>
        <w:t xml:space="preserve">Adding any of them does not restructure the existing pipeline; it adds</w:t>
      </w:r>
      <w:r>
        <w:rPr>
          <w:rFonts w:ascii="Times New Roman" w:hAnsi="Times New Roman"/>
          <w:sz w:val="20"/>
        </w:rPr>
        <w:t xml:space="preserve"> </w:t>
      </w:r>
      <w:r>
        <w:rPr>
          <w:rFonts w:ascii="Times New Roman" w:hAnsi="Times New Roman"/>
          <w:sz w:val="20"/>
        </w:rPr>
        <w:t xml:space="preserve">an edge and a handler. The LangGraph model was chosen because of this</w:t>
      </w:r>
      <w:r>
        <w:rPr>
          <w:rFonts w:ascii="Times New Roman" w:hAnsi="Times New Roman"/>
          <w:sz w:val="20"/>
        </w:rPr>
        <w:t xml:space="preserve"> </w:t>
      </w:r>
      <w:r>
        <w:rPr>
          <w:rFonts w:ascii="Times New Roman" w:hAnsi="Times New Roman"/>
          <w:sz w:val="20"/>
        </w:rPr>
        <w:t xml:space="preserve">forward trajectory, not because it was the minimum viable implementation</w:t>
      </w:r>
      <w:r>
        <w:rPr>
          <w:rFonts w:ascii="Times New Roman" w:hAnsi="Times New Roman"/>
          <w:sz w:val="20"/>
        </w:rPr>
        <w:t xml:space="preserve"> </w:t>
      </w:r>
      <w:r>
        <w:rPr>
          <w:rFonts w:ascii="Times New Roman" w:hAnsi="Times New Roman"/>
          <w:sz w:val="20"/>
        </w:rPr>
        <w:t xml:space="preserve">for the current feature set.</w:t>
      </w:r>
    </w:p>
    <w:bookmarkEnd w:id="35"/>
    <w:bookmarkStart w:id="36" w:name="deployment-constraints-for-rural-india"/>
    <w:p>
      <w:pPr>
        <w:pStyle w:val="Heading2"/>
      </w:pPr>
      <w:r>
        <w:t xml:space="preserve">Deployment Constraints for Rural India</w:t>
      </w:r>
    </w:p>
    <w:p>
      <w:pPr>
        <w:pStyle w:val="FirstParagraph"/>
      </w:pPr>
      <w:r>
        <w:t xml:space="preserve">PomeGuard’s technical performance figures are real. The deployment</w:t>
      </w:r>
      <w:r>
        <w:t xml:space="preserve"> </w:t>
      </w:r>
      <w:r>
        <w:t xml:space="preserve">reality for Maharashtra’s smallholder pomegranate belt is more</w:t>
      </w:r>
      <w:r>
        <w:t xml:space="preserve"> </w:t>
      </w:r>
      <w:r>
        <w:t xml:space="preserve">complicated.</w:t>
      </w:r>
    </w:p>
    <w:p>
      <w:pPr>
        <w:pStyle w:val="BodyText"/>
        <w:jc w:val="both"/>
      </w:pPr>
      <w:r>
        <w:rPr>
          <w:rFonts w:ascii="Times New Roman" w:hAnsi="Times New Roman"/>
          <w:sz w:val="20"/>
        </w:rPr>
        <w:t xml:space="preserve">Smartphone camera variability is the most significant uncontrolled</w:t>
      </w:r>
      <w:r>
        <w:rPr>
          <w:rFonts w:ascii="Times New Roman" w:hAnsi="Times New Roman"/>
          <w:sz w:val="20"/>
        </w:rPr>
        <w:t xml:space="preserve"> </w:t>
      </w:r>
      <w:r>
        <w:rPr>
          <w:rFonts w:ascii="Times New Roman" w:hAnsi="Times New Roman"/>
          <w:sz w:val="20"/>
        </w:rPr>
        <w:t xml:space="preserve">factor. The Pakruddin dataset was collected under natural Karnataka</w:t>
      </w:r>
      <w:r>
        <w:rPr>
          <w:rFonts w:ascii="Times New Roman" w:hAnsi="Times New Roman"/>
          <w:sz w:val="20"/>
        </w:rPr>
        <w:t xml:space="preserve"> </w:t>
      </w:r>
      <w:r>
        <w:rPr>
          <w:rFonts w:ascii="Times New Roman" w:hAnsi="Times New Roman"/>
          <w:sz w:val="20"/>
        </w:rPr>
        <w:t xml:space="preserve">field conditions, but sensor quality, focal distance, and image</w:t>
      </w:r>
      <w:r>
        <w:rPr>
          <w:rFonts w:ascii="Times New Roman" w:hAnsi="Times New Roman"/>
          <w:sz w:val="20"/>
        </w:rPr>
        <w:t xml:space="preserve"> </w:t>
      </w:r>
      <w:r>
        <w:rPr>
          <w:rFonts w:ascii="Times New Roman" w:hAnsi="Times New Roman"/>
          <w:sz w:val="20"/>
        </w:rPr>
        <w:t xml:space="preserve">compression differ substantially between a Rs. 8,000 Android phone and a</w:t>
      </w:r>
      <w:r>
        <w:rPr>
          <w:rFonts w:ascii="Times New Roman" w:hAnsi="Times New Roman"/>
          <w:sz w:val="20"/>
        </w:rPr>
        <w:t xml:space="preserve"> </w:t>
      </w:r>
      <w:r>
        <w:rPr>
          <w:rFonts w:ascii="Times New Roman" w:hAnsi="Times New Roman"/>
          <w:sz w:val="20"/>
        </w:rPr>
        <w:t xml:space="preserve">flagship device. The</w:t>
      </w:r>
      <w:r>
        <w:rPr>
          <w:rFonts w:ascii="Times New Roman" w:hAnsi="Times New Roman"/>
          <w:sz w:val="20"/>
        </w:rPr>
        <w:t xml:space="preserve"> </w:t>
      </w:r>
      <m:oMath>
        <m:r>
          <m:t>224</m:t>
        </m:r>
        <m:r>
          <m:rPr>
            <m:sty m:val="p"/>
          </m:rPr>
          <m:t>×</m:t>
        </m:r>
        <m:r>
          <m:t>224</m:t>
        </m:r>
      </m:oMath>
      <w:r>
        <w:rPr>
          <w:rFonts w:ascii="Times New Roman" w:hAnsi="Times New Roman"/>
          <w:sz w:val="20"/>
        </w:rPr>
        <w:t xml:space="preserve"> </w:t>
      </w:r>
      <w:r>
        <w:rPr>
          <w:rFonts w:ascii="Times New Roman" w:hAnsi="Times New Roman"/>
          <w:sz w:val="20"/>
        </w:rPr>
        <w:t xml:space="preserve">input normalisation absorbs some of</w:t>
      </w:r>
      <w:r>
        <w:rPr>
          <w:rFonts w:ascii="Times New Roman" w:hAnsi="Times New Roman"/>
          <w:sz w:val="20"/>
        </w:rPr>
        <w:t xml:space="preserve"> </w:t>
      </w:r>
      <w:r>
        <w:rPr>
          <w:rFonts w:ascii="Times New Roman" w:hAnsi="Times New Roman"/>
          <w:sz w:val="20"/>
        </w:rPr>
        <w:t xml:space="preserve">this variance, but early-stage lesions on low-quality sensors may be</w:t>
      </w:r>
      <w:r>
        <w:rPr>
          <w:rFonts w:ascii="Times New Roman" w:hAnsi="Times New Roman"/>
          <w:sz w:val="20"/>
        </w:rPr>
        <w:t xml:space="preserve"> </w:t>
      </w:r>
      <w:r>
        <w:rPr>
          <w:rFonts w:ascii="Times New Roman" w:hAnsi="Times New Roman"/>
          <w:sz w:val="20"/>
        </w:rPr>
        <w:t xml:space="preserve">below the spatial resolution threshold where the vision model has been</w:t>
      </w:r>
      <w:r>
        <w:rPr>
          <w:rFonts w:ascii="Times New Roman" w:hAnsi="Times New Roman"/>
          <w:sz w:val="20"/>
        </w:rPr>
        <w:t xml:space="preserve"> </w:t>
      </w:r>
      <w:r>
        <w:rPr>
          <w:rFonts w:ascii="Times New Roman" w:hAnsi="Times New Roman"/>
          <w:sz w:val="20"/>
        </w:rPr>
        <w:t xml:space="preserve">validated.</w:t>
      </w:r>
    </w:p>
    <w:p>
      <w:pPr>
        <w:pStyle w:val="BodyText"/>
        <w:jc w:val="both"/>
      </w:pPr>
      <w:r>
        <w:rPr>
          <w:rFonts w:ascii="Times New Roman" w:hAnsi="Times New Roman"/>
          <w:sz w:val="20"/>
        </w:rPr>
        <w:t xml:space="preserve">Indoor lighting condition is a related problem. Many packinghouse</w:t>
      </w:r>
      <w:r>
        <w:rPr>
          <w:rFonts w:ascii="Times New Roman" w:hAnsi="Times New Roman"/>
          <w:sz w:val="20"/>
        </w:rPr>
        <w:t xml:space="preserve"> </w:t>
      </w:r>
      <w:r>
        <w:rPr>
          <w:rFonts w:ascii="Times New Roman" w:hAnsi="Times New Roman"/>
          <w:sz w:val="20"/>
        </w:rPr>
        <w:t xml:space="preserve">inspections happen under artificial sodium-vapour or LED lighting with</w:t>
      </w:r>
      <w:r>
        <w:rPr>
          <w:rFonts w:ascii="Times New Roman" w:hAnsi="Times New Roman"/>
          <w:sz w:val="20"/>
        </w:rPr>
        <w:t xml:space="preserve"> </w:t>
      </w:r>
      <w:r>
        <w:rPr>
          <w:rFonts w:ascii="Times New Roman" w:hAnsi="Times New Roman"/>
          <w:sz w:val="20"/>
        </w:rPr>
        <w:t xml:space="preserve">spectral profiles very different from the daylight conditions of the</w:t>
      </w:r>
      <w:r>
        <w:rPr>
          <w:rFonts w:ascii="Times New Roman" w:hAnsi="Times New Roman"/>
          <w:sz w:val="20"/>
        </w:rPr>
        <w:t xml:space="preserve"> </w:t>
      </w:r>
      <w:r>
        <w:rPr>
          <w:rFonts w:ascii="Times New Roman" w:hAnsi="Times New Roman"/>
          <w:sz w:val="20"/>
        </w:rPr>
        <w:t xml:space="preserve">training data. Domain shift of this kind is a known challenge for</w:t>
      </w:r>
      <w:r>
        <w:rPr>
          <w:rFonts w:ascii="Times New Roman" w:hAnsi="Times New Roman"/>
          <w:sz w:val="20"/>
        </w:rPr>
        <w:t xml:space="preserve"> </w:t>
      </w:r>
      <w:r>
        <w:rPr>
          <w:rFonts w:ascii="Times New Roman" w:hAnsi="Times New Roman"/>
          <w:sz w:val="20"/>
        </w:rPr>
        <w:t xml:space="preserve">deployed agricultural vision systems (Barbedo 2016), and it is one</w:t>
      </w:r>
      <w:r>
        <w:rPr>
          <w:rFonts w:ascii="Times New Roman" w:hAnsi="Times New Roman"/>
          <w:sz w:val="20"/>
        </w:rPr>
        <w:t xml:space="preserve"> </w:t>
      </w:r>
      <w:r>
        <w:rPr>
          <w:rFonts w:ascii="Times New Roman" w:hAnsi="Times New Roman"/>
          <w:sz w:val="20"/>
        </w:rPr>
        <w:t xml:space="preserve">PomeGuard has not solved.</w:t>
      </w:r>
    </w:p>
    <w:p>
      <w:pPr>
        <w:pStyle w:val="BodyText"/>
        <w:jc w:val="both"/>
      </w:pPr>
      <w:r>
        <w:rPr>
          <w:rFonts w:ascii="Times New Roman" w:hAnsi="Times New Roman"/>
          <w:sz w:val="20"/>
        </w:rPr>
        <w:t xml:space="preserve">Connectivity is a third constraint. The current architecture requires a</w:t>
      </w:r>
      <w:r>
        <w:rPr>
          <w:rFonts w:ascii="Times New Roman" w:hAnsi="Times New Roman"/>
          <w:sz w:val="20"/>
        </w:rPr>
        <w:t xml:space="preserve"> </w:t>
      </w:r>
      <w:r>
        <w:rPr>
          <w:rFonts w:ascii="Times New Roman" w:hAnsi="Times New Roman"/>
          <w:sz w:val="20"/>
        </w:rPr>
        <w:t xml:space="preserve">network connection from the field device to the inference server for</w:t>
      </w:r>
      <w:r>
        <w:rPr>
          <w:rFonts w:ascii="Times New Roman" w:hAnsi="Times New Roman"/>
          <w:sz w:val="20"/>
        </w:rPr>
        <w:t xml:space="preserve"> </w:t>
      </w:r>
      <w:r>
        <w:rPr>
          <w:rFonts w:ascii="Times New Roman" w:hAnsi="Times New Roman"/>
          <w:sz w:val="20"/>
        </w:rPr>
        <w:t xml:space="preserve">every analysis. Rural Solapur and Sangli have improving but still</w:t>
      </w:r>
      <w:r>
        <w:rPr>
          <w:rFonts w:ascii="Times New Roman" w:hAnsi="Times New Roman"/>
          <w:sz w:val="20"/>
        </w:rPr>
        <w:t xml:space="preserve"> </w:t>
      </w:r>
      <w:r>
        <w:rPr>
          <w:rFonts w:ascii="Times New Roman" w:hAnsi="Times New Roman"/>
          <w:sz w:val="20"/>
        </w:rPr>
        <w:t xml:space="preserve">inconsistent 4G coverage. The planned Raspberry Pi edge deployment</w:t>
      </w:r>
      <w:r>
        <w:rPr>
          <w:rFonts w:ascii="Times New Roman" w:hAnsi="Times New Roman"/>
          <w:sz w:val="20"/>
        </w:rPr>
        <w:t xml:space="preserve"> </w:t>
      </w:r>
      <w:r>
        <w:rPr>
          <w:rFonts w:ascii="Times New Roman" w:hAnsi="Times New Roman"/>
          <w:sz w:val="20"/>
        </w:rPr>
        <w:t xml:space="preserve">addresses this—running the EfficientNetB0 model and the rule engine</w:t>
      </w:r>
      <w:r>
        <w:rPr>
          <w:rFonts w:ascii="Times New Roman" w:hAnsi="Times New Roman"/>
          <w:sz w:val="20"/>
        </w:rPr>
        <w:t xml:space="preserve"> </w:t>
      </w:r>
      <w:r>
        <w:rPr>
          <w:rFonts w:ascii="Times New Roman" w:hAnsi="Times New Roman"/>
          <w:sz w:val="20"/>
        </w:rPr>
        <w:t xml:space="preserve">locally, with cloud sync when connectivity permits—but this is not yet</w:t>
      </w:r>
      <w:r>
        <w:rPr>
          <w:rFonts w:ascii="Times New Roman" w:hAnsi="Times New Roman"/>
          <w:sz w:val="20"/>
        </w:rPr>
        <w:t xml:space="preserve"> </w:t>
      </w:r>
      <w:r>
        <w:rPr>
          <w:rFonts w:ascii="Times New Roman" w:hAnsi="Times New Roman"/>
          <w:sz w:val="20"/>
        </w:rPr>
        <w:t xml:space="preserve">implemented.</w:t>
      </w:r>
    </w:p>
    <w:p>
      <w:pPr>
        <w:pStyle w:val="BodyText"/>
        <w:jc w:val="both"/>
      </w:pPr>
      <w:r>
        <w:rPr>
          <w:rFonts w:ascii="Times New Roman" w:hAnsi="Times New Roman"/>
          <w:sz w:val="20"/>
        </w:rPr>
        <w:t xml:space="preserve">Finally, environmental metadata is currently manually entered. A farmer</w:t>
      </w:r>
      <w:r>
        <w:rPr>
          <w:rFonts w:ascii="Times New Roman" w:hAnsi="Times New Roman"/>
          <w:sz w:val="20"/>
        </w:rPr>
        <w:t xml:space="preserve"> </w:t>
      </w:r>
      <w:r>
        <w:rPr>
          <w:rFonts w:ascii="Times New Roman" w:hAnsi="Times New Roman"/>
          <w:sz w:val="20"/>
        </w:rPr>
        <w:t xml:space="preserve">who does not know their UV irradiance in W/m</w:t>
      </w:r>
      <m:oMath>
        <m:sSup>
          <m:e>
            <m:r>
              <m:t>​</m:t>
            </m:r>
          </m:e>
          <m:sup>
            <m:r>
              <m:t>2</m:t>
            </m:r>
          </m:sup>
        </m:sSup>
      </m:oMath>
      <w:r>
        <w:rPr>
          <w:rFonts w:ascii="Times New Roman" w:hAnsi="Times New Roman"/>
          <w:sz w:val="20"/>
        </w:rPr>
        <w:t xml:space="preserve"> </w:t>
      </w:r>
      <w:r>
        <w:rPr>
          <w:rFonts w:ascii="Times New Roman" w:hAnsi="Times New Roman"/>
          <w:sz w:val="20"/>
        </w:rPr>
        <w:t xml:space="preserve">cannot provide a useful</w:t>
      </w:r>
      <w:r>
        <w:rPr>
          <w:rFonts w:ascii="Times New Roman" w:hAnsi="Times New Roman"/>
          <w:sz w:val="20"/>
        </w:rPr>
        <w:t xml:space="preserve"> </w:t>
      </w:r>
      <w:r>
        <w:rPr>
          <w:rFonts w:ascii="Times New Roman" w:hAnsi="Times New Roman"/>
          <w:sz w:val="20"/>
        </w:rPr>
        <w:t xml:space="preserve">environmental reading. Integration with a real-time weather</w:t>
      </w:r>
      <w:r>
        <w:rPr>
          <w:rFonts w:ascii="Times New Roman" w:hAnsi="Times New Roman"/>
          <w:sz w:val="20"/>
        </w:rPr>
        <w:t xml:space="preserve"> </w:t>
      </w:r>
      <w:r>
        <w:rPr>
          <w:rFonts w:ascii="Times New Roman" w:hAnsi="Times New Roman"/>
          <w:sz w:val="20"/>
        </w:rPr>
        <w:t xml:space="preserve">API—mapping GPS coordinates to hourly environmental data—is the most</w:t>
      </w:r>
      <w:r>
        <w:rPr>
          <w:rFonts w:ascii="Times New Roman" w:hAnsi="Times New Roman"/>
          <w:sz w:val="20"/>
        </w:rPr>
        <w:t xml:space="preserve"> </w:t>
      </w:r>
      <w:r>
        <w:rPr>
          <w:rFonts w:ascii="Times New Roman" w:hAnsi="Times New Roman"/>
          <w:sz w:val="20"/>
        </w:rPr>
        <w:t xml:space="preserve">urgent practical enhancement in the roadmap, and the one that would</w:t>
      </w:r>
      <w:r>
        <w:rPr>
          <w:rFonts w:ascii="Times New Roman" w:hAnsi="Times New Roman"/>
          <w:sz w:val="20"/>
        </w:rPr>
        <w:t xml:space="preserve"> </w:t>
      </w:r>
      <w:r>
        <w:rPr>
          <w:rFonts w:ascii="Times New Roman" w:hAnsi="Times New Roman"/>
          <w:sz w:val="20"/>
        </w:rPr>
        <w:t xml:space="preserve">shift PomeGuard from a useful demonstration to a routinely deployable</w:t>
      </w:r>
      <w:r>
        <w:rPr>
          <w:rFonts w:ascii="Times New Roman" w:hAnsi="Times New Roman"/>
          <w:sz w:val="20"/>
        </w:rPr>
        <w:t xml:space="preserve"> </w:t>
      </w:r>
      <w:r>
        <w:rPr>
          <w:rFonts w:ascii="Times New Roman" w:hAnsi="Times New Roman"/>
          <w:sz w:val="20"/>
        </w:rPr>
        <w:t xml:space="preserve">field tool.</w:t>
      </w:r>
    </w:p>
    <w:bookmarkEnd w:id="36"/>
    <w:bookmarkEnd w:id="37"/>
    <w:bookmarkStart w:id="38" w:name="sec:limitations"/>
    <w:p>
      <w:pPr>
        <w:pStyle w:val="Heading1"/>
      </w:pPr>
      <w:r>
        <w:t xml:space="preserve">Limitations and Future Work</w:t>
      </w:r>
    </w:p>
    <w:p>
      <w:pPr>
        <w:pStyle w:val="FirstParagraph"/>
      </w:pPr>
      <w:r>
        <w:t xml:space="preserve">The following limitations are specific, not aspirational, and each</w:t>
      </w:r>
      <w:r>
        <w:t xml:space="preserve"> </w:t>
      </w:r>
      <w:r>
        <w:t xml:space="preserve">represents a condition under which the system will fail or produce</w:t>
      </w:r>
      <w:r>
        <w:t xml:space="preserve"> </w:t>
      </w:r>
      <w:r>
        <w:t xml:space="preserve">unreliable results.</w:t>
      </w:r>
    </w:p>
    <w:p>
      <w:pPr>
        <w:pStyle w:val="BodyText"/>
        <w:jc w:val="both"/>
      </w:pPr>
      <w:r>
        <w:rPr>
          <w:b/>
          <w:bCs/>
        </w:rPr>
        <w:t xml:space="preserve">1. Dataset geography is restricted to Karnataka.</w:t>
      </w:r>
      <w:r>
        <w:rPr>
          <w:rFonts w:ascii="Times New Roman" w:hAnsi="Times New Roman"/>
          <w:sz w:val="20"/>
        </w:rPr>
        <w:t xml:space="preserve"> </w:t>
      </w:r>
      <w:r>
        <w:rPr>
          <w:rFonts w:ascii="Times New Roman" w:hAnsi="Times New Roman"/>
          <w:sz w:val="20"/>
        </w:rPr>
        <w:t xml:space="preserve">All 5,099 training</w:t>
      </w:r>
      <w:r>
        <w:rPr>
          <w:rFonts w:ascii="Times New Roman" w:hAnsi="Times New Roman"/>
          <w:sz w:val="20"/>
        </w:rPr>
        <w:t xml:space="preserve"> </w:t>
      </w:r>
      <w:r>
        <w:rPr>
          <w:rFonts w:ascii="Times New Roman" w:hAnsi="Times New Roman"/>
          <w:sz w:val="20"/>
        </w:rPr>
        <w:t xml:space="preserve">images were collected from Karnataka farms. The Bhagwa cultivar grown in</w:t>
      </w:r>
      <w:r>
        <w:rPr>
          <w:rFonts w:ascii="Times New Roman" w:hAnsi="Times New Roman"/>
          <w:sz w:val="20"/>
        </w:rPr>
        <w:t xml:space="preserve"> </w:t>
      </w:r>
      <w:r>
        <w:rPr>
          <w:rFonts w:ascii="Times New Roman" w:hAnsi="Times New Roman"/>
          <w:sz w:val="20"/>
        </w:rPr>
        <w:t xml:space="preserve">Maharashtra’s Solapur belt, the state’s primary production district,</w:t>
      </w:r>
      <w:r>
        <w:rPr>
          <w:rFonts w:ascii="Times New Roman" w:hAnsi="Times New Roman"/>
          <w:sz w:val="20"/>
        </w:rPr>
        <w:t xml:space="preserve"> </w:t>
      </w:r>
      <w:r>
        <w:rPr>
          <w:rFonts w:ascii="Times New Roman" w:hAnsi="Times New Roman"/>
          <w:sz w:val="20"/>
        </w:rPr>
        <w:t xml:space="preserve">experiences different soil chemistry, rainfall distribution, and</w:t>
      </w:r>
      <w:r>
        <w:rPr>
          <w:rFonts w:ascii="Times New Roman" w:hAnsi="Times New Roman"/>
          <w:sz w:val="20"/>
        </w:rPr>
        <w:t xml:space="preserve"> </w:t>
      </w:r>
      <w:r>
        <w:rPr>
          <w:rFonts w:ascii="Times New Roman" w:hAnsi="Times New Roman"/>
          <w:sz w:val="20"/>
        </w:rPr>
        <w:t xml:space="preserve">cultivation practices. The local phenotypic expression of Bacterial</w:t>
      </w:r>
      <w:r>
        <w:rPr>
          <w:rFonts w:ascii="Times New Roman" w:hAnsi="Times New Roman"/>
          <w:sz w:val="20"/>
        </w:rPr>
        <w:t xml:space="preserve"> </w:t>
      </w:r>
      <w:r>
        <w:rPr>
          <w:rFonts w:ascii="Times New Roman" w:hAnsi="Times New Roman"/>
          <w:sz w:val="20"/>
        </w:rPr>
        <w:t xml:space="preserve">Blight in Solapur—the target deployment region—may differ visually</w:t>
      </w:r>
      <w:r>
        <w:rPr>
          <w:rFonts w:ascii="Times New Roman" w:hAnsi="Times New Roman"/>
          <w:sz w:val="20"/>
        </w:rPr>
        <w:t xml:space="preserve"> </w:t>
      </w:r>
      <w:r>
        <w:rPr>
          <w:rFonts w:ascii="Times New Roman" w:hAnsi="Times New Roman"/>
          <w:sz w:val="20"/>
        </w:rPr>
        <w:t xml:space="preserve">from the Karnataka samples on which the model was trained. Until a</w:t>
      </w:r>
      <w:r>
        <w:rPr>
          <w:rFonts w:ascii="Times New Roman" w:hAnsi="Times New Roman"/>
          <w:sz w:val="20"/>
        </w:rPr>
        <w:t xml:space="preserve"> </w:t>
      </w:r>
      <w:r>
        <w:rPr>
          <w:rFonts w:ascii="Times New Roman" w:hAnsi="Times New Roman"/>
          <w:sz w:val="20"/>
        </w:rPr>
        <w:t xml:space="preserve">cross-district validation study is conducted with images from</w:t>
      </w:r>
      <w:r>
        <w:rPr>
          <w:rFonts w:ascii="Times New Roman" w:hAnsi="Times New Roman"/>
          <w:sz w:val="20"/>
        </w:rPr>
        <w:t xml:space="preserve"> </w:t>
      </w:r>
      <w:r>
        <w:rPr>
          <w:rFonts w:ascii="Times New Roman" w:hAnsi="Times New Roman"/>
          <w:sz w:val="20"/>
        </w:rPr>
        <w:t xml:space="preserve">Maharashtra farms specifically, the 98.9% F1-score should not be assumed</w:t>
      </w:r>
      <w:r>
        <w:rPr>
          <w:rFonts w:ascii="Times New Roman" w:hAnsi="Times New Roman"/>
          <w:sz w:val="20"/>
        </w:rPr>
        <w:t xml:space="preserve"> </w:t>
      </w:r>
      <w:r>
        <w:rPr>
          <w:rFonts w:ascii="Times New Roman" w:hAnsi="Times New Roman"/>
          <w:sz w:val="20"/>
        </w:rPr>
        <w:t xml:space="preserve">to transfer.</w:t>
      </w:r>
    </w:p>
    <w:p>
      <w:pPr>
        <w:pStyle w:val="BodyText"/>
        <w:jc w:val="both"/>
      </w:pPr>
      <w:r>
        <w:rPr>
          <w:b/>
          <w:bCs/>
        </w:rPr>
        <w:t xml:space="preserve">2. Phytochemical inference coefficients are literature-derived, not</w:t>
      </w:r>
      <w:r>
        <w:rPr>
          <w:b/>
          <w:bCs/>
        </w:rPr>
        <w:t xml:space="preserve"> </w:t>
      </w:r>
      <w:r>
        <w:rPr>
          <w:b/>
          <w:bCs/>
        </w:rPr>
        <w:t xml:space="preserve">empirically calibrated.</w:t>
      </w:r>
      <w:r>
        <w:rPr>
          <w:rFonts w:ascii="Times New Roman" w:hAnsi="Times New Roman"/>
          <w:sz w:val="20"/>
        </w:rPr>
        <w:t xml:space="preserve"> </w:t>
      </w:r>
      <w:r>
        <w:rPr>
          <w:rFonts w:ascii="Times New Roman" w:hAnsi="Times New Roman"/>
          <w:sz w:val="20"/>
        </w:rPr>
        <w:t xml:space="preserve">The degradation coefficients in</w:t>
      </w:r>
      <w:r>
        <w:rPr>
          <w:rFonts w:ascii="Times New Roman" w:hAnsi="Times New Roman"/>
          <w:sz w:val="20"/>
        </w:rPr>
        <w:t xml:space="preserve"> </w:t>
      </w:r>
      <w:r>
        <w:rPr>
          <w:rFonts w:ascii="Times New Roman" w:hAnsi="Times New Roman"/>
          <w:sz w:val="20"/>
        </w:rPr>
        <w:t xml:space="preserve">Table </w:t>
      </w:r>
      <w:hyperlink w:anchor="tab:degradation_rules">
        <w:r>
          <w:rPr>
            <w:rStyle w:val="Hyperlink"/>
          </w:rPr>
          <w:t xml:space="preserve">1</w:t>
        </w:r>
      </w:hyperlink>
      <w:r>
        <w:rPr>
          <w:rFonts w:ascii="Times New Roman" w:hAnsi="Times New Roman"/>
          <w:sz w:val="20"/>
        </w:rPr>
        <w:t xml:space="preserve"> </w:t>
      </w:r>
      <w:r>
        <w:rPr>
          <w:rFonts w:ascii="Times New Roman" w:hAnsi="Times New Roman"/>
          <w:sz w:val="20"/>
        </w:rPr>
        <w:t xml:space="preserve">encode published biochemical</w:t>
      </w:r>
      <w:r>
        <w:rPr>
          <w:rFonts w:ascii="Times New Roman" w:hAnsi="Times New Roman"/>
          <w:sz w:val="20"/>
        </w:rPr>
        <w:t xml:space="preserve"> </w:t>
      </w:r>
      <w:r>
        <w:rPr>
          <w:rFonts w:ascii="Times New Roman" w:hAnsi="Times New Roman"/>
          <w:sz w:val="20"/>
        </w:rPr>
        <w:t xml:space="preserve">relationships reviewed by domain experts. They have not been validated</w:t>
      </w:r>
      <w:r>
        <w:rPr>
          <w:rFonts w:ascii="Times New Roman" w:hAnsi="Times New Roman"/>
          <w:sz w:val="20"/>
        </w:rPr>
        <w:t xml:space="preserve"> </w:t>
      </w:r>
      <w:r>
        <w:rPr>
          <w:rFonts w:ascii="Times New Roman" w:hAnsi="Times New Roman"/>
          <w:sz w:val="20"/>
        </w:rPr>
        <w:t xml:space="preserve">against paired (image, HPLC measurement) samples from the same fruit.</w:t>
      </w:r>
      <w:r>
        <w:rPr>
          <w:rFonts w:ascii="Times New Roman" w:hAnsi="Times New Roman"/>
          <w:sz w:val="20"/>
        </w:rPr>
        <w:t xml:space="preserve"> </w:t>
      </w:r>
      <w:r>
        <w:rPr>
          <w:rFonts w:ascii="Times New Roman" w:hAnsi="Times New Roman"/>
          <w:sz w:val="20"/>
        </w:rPr>
        <w:t xml:space="preserve">The inference layer produces compound-level estimates that are plausible</w:t>
      </w:r>
      <w:r>
        <w:rPr>
          <w:rFonts w:ascii="Times New Roman" w:hAnsi="Times New Roman"/>
          <w:sz w:val="20"/>
        </w:rPr>
        <w:t xml:space="preserve"> </w:t>
      </w:r>
      <w:r>
        <w:rPr>
          <w:rFonts w:ascii="Times New Roman" w:hAnsi="Times New Roman"/>
          <w:sz w:val="20"/>
        </w:rPr>
        <w:t xml:space="preserve">by design, but their quantitative accuracy is unknown. A system user who</w:t>
      </w:r>
      <w:r>
        <w:rPr>
          <w:rFonts w:ascii="Times New Roman" w:hAnsi="Times New Roman"/>
          <w:sz w:val="20"/>
        </w:rPr>
        <w:t xml:space="preserve"> </w:t>
      </w:r>
      <w:r>
        <w:rPr>
          <w:rFonts w:ascii="Times New Roman" w:hAnsi="Times New Roman"/>
          <w:sz w:val="20"/>
        </w:rPr>
        <w:t xml:space="preserve">treats these estimates as calibrated sensor measurements would be</w:t>
      </w:r>
      <w:r>
        <w:rPr>
          <w:rFonts w:ascii="Times New Roman" w:hAnsi="Times New Roman"/>
          <w:sz w:val="20"/>
        </w:rPr>
        <w:t xml:space="preserve"> </w:t>
      </w:r>
      <w:r>
        <w:rPr>
          <w:rFonts w:ascii="Times New Roman" w:hAnsi="Times New Roman"/>
          <w:sz w:val="20"/>
        </w:rPr>
        <w:t xml:space="preserve">misusing the tool.</w:t>
      </w:r>
    </w:p>
    <w:p>
      <w:pPr>
        <w:pStyle w:val="BodyText"/>
        <w:jc w:val="both"/>
      </w:pPr>
      <w:r>
        <w:rPr>
          <w:b/>
          <w:bCs/>
        </w:rPr>
        <w:t xml:space="preserve">3. Environmental input is manual, not sensor-integrated.</w:t>
      </w:r>
      <w:r>
        <w:rPr>
          <w:rFonts w:ascii="Times New Roman" w:hAnsi="Times New Roman"/>
          <w:sz w:val="20"/>
        </w:rPr>
        <w:t xml:space="preserve"> </w:t>
      </w:r>
      <w:r>
        <w:rPr>
          <w:rFonts w:ascii="Times New Roman" w:hAnsi="Times New Roman"/>
          <w:sz w:val="20"/>
        </w:rPr>
        <w:t xml:space="preserve">Requiring a</w:t>
      </w:r>
      <w:r>
        <w:rPr>
          <w:rFonts w:ascii="Times New Roman" w:hAnsi="Times New Roman"/>
          <w:sz w:val="20"/>
        </w:rPr>
        <w:t xml:space="preserve"> </w:t>
      </w:r>
      <w:r>
        <w:rPr>
          <w:rFonts w:ascii="Times New Roman" w:hAnsi="Times New Roman"/>
          <w:sz w:val="20"/>
        </w:rPr>
        <w:t xml:space="preserve">user to manually enter UV irradiance in W/m</w:t>
      </w:r>
      <m:oMath>
        <m:sSup>
          <m:e>
            <m:r>
              <m:t>​</m:t>
            </m:r>
          </m:e>
          <m:sup>
            <m:r>
              <m:t>2</m:t>
            </m:r>
          </m:sup>
        </m:sSup>
      </m:oMath>
      <w:r>
        <w:rPr>
          <w:rFonts w:ascii="Times New Roman" w:hAnsi="Times New Roman"/>
          <w:sz w:val="20"/>
        </w:rPr>
        <w:t xml:space="preserve"> </w:t>
      </w:r>
      <w:r>
        <w:rPr>
          <w:rFonts w:ascii="Times New Roman" w:hAnsi="Times New Roman"/>
          <w:sz w:val="20"/>
        </w:rPr>
        <w:t xml:space="preserve">is impractical for</w:t>
      </w:r>
      <w:r>
        <w:rPr>
          <w:rFonts w:ascii="Times New Roman" w:hAnsi="Times New Roman"/>
          <w:sz w:val="20"/>
        </w:rPr>
        <w:t xml:space="preserve"> </w:t>
      </w:r>
      <w:r>
        <w:rPr>
          <w:rFonts w:ascii="Times New Roman" w:hAnsi="Times New Roman"/>
          <w:sz w:val="20"/>
        </w:rPr>
        <w:t xml:space="preserve">routine field use. Most farmers do not have access to a pyranometer. The</w:t>
      </w:r>
      <w:r>
        <w:rPr>
          <w:rFonts w:ascii="Times New Roman" w:hAnsi="Times New Roman"/>
          <w:sz w:val="20"/>
        </w:rPr>
        <w:t xml:space="preserve"> </w:t>
      </w:r>
      <w:r>
        <w:rPr>
          <w:rFonts w:ascii="Times New Roman" w:hAnsi="Times New Roman"/>
          <w:sz w:val="20"/>
        </w:rPr>
        <w:t xml:space="preserve">environmental stress agent is currently useful primarily in research or</w:t>
      </w:r>
      <w:r>
        <w:rPr>
          <w:rFonts w:ascii="Times New Roman" w:hAnsi="Times New Roman"/>
          <w:sz w:val="20"/>
        </w:rPr>
        <w:t xml:space="preserve"> </w:t>
      </w:r>
      <w:r>
        <w:rPr>
          <w:rFonts w:ascii="Times New Roman" w:hAnsi="Times New Roman"/>
          <w:sz w:val="20"/>
        </w:rPr>
        <w:t xml:space="preserve">extension contexts where environmental monitoring infrastructure exists.</w:t>
      </w:r>
      <w:r>
        <w:rPr>
          <w:rFonts w:ascii="Times New Roman" w:hAnsi="Times New Roman"/>
          <w:sz w:val="20"/>
        </w:rPr>
        <w:t xml:space="preserve"> </w:t>
      </w:r>
      <w:r>
        <w:rPr>
          <w:rFonts w:ascii="Times New Roman" w:hAnsi="Times New Roman"/>
          <w:sz w:val="20"/>
        </w:rPr>
        <w:t xml:space="preserve">Without real-time sensor integration, the env pipeline either receives</w:t>
      </w:r>
      <w:r>
        <w:rPr>
          <w:rFonts w:ascii="Times New Roman" w:hAnsi="Times New Roman"/>
          <w:sz w:val="20"/>
        </w:rPr>
        <w:t xml:space="preserve"> </w:t>
      </w:r>
      <w:r>
        <w:rPr>
          <w:rFonts w:ascii="Times New Roman" w:hAnsi="Times New Roman"/>
          <w:sz w:val="20"/>
        </w:rPr>
        <w:t xml:space="preserve">no input or receives unreliable estimates.</w:t>
      </w:r>
    </w:p>
    <w:p>
      <w:pPr>
        <w:pStyle w:val="BodyText"/>
        <w:jc w:val="both"/>
      </w:pPr>
      <w:r>
        <w:rPr>
          <w:b/>
          <w:bCs/>
        </w:rPr>
        <w:t xml:space="preserve">4. Severity labels are bootstrapped from segmentation, not directly</w:t>
      </w:r>
      <w:r>
        <w:rPr>
          <w:b/>
          <w:bCs/>
        </w:rPr>
        <w:t xml:space="preserve"> </w:t>
      </w:r>
      <w:r>
        <w:rPr>
          <w:b/>
          <w:bCs/>
        </w:rPr>
        <w:t xml:space="preserve">annotated.</w:t>
      </w:r>
      <w:r>
        <w:rPr>
          <w:rFonts w:ascii="Times New Roman" w:hAnsi="Times New Roman"/>
          <w:sz w:val="20"/>
        </w:rPr>
        <w:t xml:space="preserve"> </w:t>
      </w:r>
      <w:r>
        <w:rPr>
          <w:rFonts w:ascii="Times New Roman" w:hAnsi="Times New Roman"/>
          <w:sz w:val="20"/>
        </w:rPr>
        <w:t xml:space="preserve">The UNet-derived severity labels introduce an additional</w:t>
      </w:r>
      <w:r>
        <w:rPr>
          <w:rFonts w:ascii="Times New Roman" w:hAnsi="Times New Roman"/>
          <w:sz w:val="20"/>
        </w:rPr>
        <w:t xml:space="preserve"> </w:t>
      </w:r>
      <w:r>
        <w:rPr>
          <w:rFonts w:ascii="Times New Roman" w:hAnsi="Times New Roman"/>
          <w:sz w:val="20"/>
        </w:rPr>
        <w:t xml:space="preserve">error source into the training signal for any downstream model that uses</w:t>
      </w:r>
      <w:r>
        <w:rPr>
          <w:rFonts w:ascii="Times New Roman" w:hAnsi="Times New Roman"/>
          <w:sz w:val="20"/>
        </w:rPr>
        <w:t xml:space="preserve"> </w:t>
      </w:r>
      <w:r>
        <w:rPr>
          <w:rFonts w:ascii="Times New Roman" w:hAnsi="Times New Roman"/>
          <w:sz w:val="20"/>
        </w:rPr>
        <w:t xml:space="preserve">severity as a feature—including the ontology rule engine. A Severe</w:t>
      </w:r>
      <w:r>
        <w:rPr>
          <w:rFonts w:ascii="Times New Roman" w:hAnsi="Times New Roman"/>
          <w:sz w:val="20"/>
        </w:rPr>
        <w:t xml:space="preserve"> </w:t>
      </w:r>
      <w:r>
        <w:rPr>
          <w:rFonts w:ascii="Times New Roman" w:hAnsi="Times New Roman"/>
          <w:sz w:val="20"/>
        </w:rPr>
        <w:t xml:space="preserve">label applied to a fruit whose lesion area was misestimated by the UNet</w:t>
      </w:r>
      <w:r>
        <w:rPr>
          <w:rFonts w:ascii="Times New Roman" w:hAnsi="Times New Roman"/>
          <w:sz w:val="20"/>
        </w:rPr>
        <w:t xml:space="preserve"> </w:t>
      </w:r>
      <w:r>
        <w:rPr>
          <w:rFonts w:ascii="Times New Roman" w:hAnsi="Times New Roman"/>
          <w:sz w:val="20"/>
        </w:rPr>
        <w:t xml:space="preserve">produces an incorrect</w:t>
      </w:r>
      <w:r>
        <w:rPr>
          <w:rFonts w:ascii="Times New Roman" w:hAnsi="Times New Roman"/>
          <w:sz w:val="20"/>
        </w:rPr>
        <w:t xml:space="preserve"> </w:t>
      </w:r>
      <m:oMath>
        <m:r>
          <m:t>1.5</m:t>
        </m:r>
        <m:r>
          <m:rPr>
            <m:sty m:val="p"/>
          </m:rPr>
          <m:t>×</m:t>
        </m:r>
      </m:oMath>
      <w:r>
        <w:rPr>
          <w:rFonts w:ascii="Times New Roman" w:hAnsi="Times New Roman"/>
          <w:sz w:val="20"/>
        </w:rPr>
        <w:t xml:space="preserve"> </w:t>
      </w:r>
      <w:r>
        <w:rPr>
          <w:rFonts w:ascii="Times New Roman" w:hAnsi="Times New Roman"/>
          <w:sz w:val="20"/>
        </w:rPr>
        <w:t xml:space="preserve">degradation multiplier. The magnitude</w:t>
      </w:r>
      <w:r>
        <w:rPr>
          <w:rFonts w:ascii="Times New Roman" w:hAnsi="Times New Roman"/>
          <w:sz w:val="20"/>
        </w:rPr>
        <w:t xml:space="preserve"> </w:t>
      </w:r>
      <w:r>
        <w:rPr>
          <w:rFonts w:ascii="Times New Roman" w:hAnsi="Times New Roman"/>
          <w:sz w:val="20"/>
        </w:rPr>
        <w:t xml:space="preserve">of this error has not been quantified; doing so would require expert</w:t>
      </w:r>
      <w:r>
        <w:rPr>
          <w:rFonts w:ascii="Times New Roman" w:hAnsi="Times New Roman"/>
          <w:sz w:val="20"/>
        </w:rPr>
        <w:t xml:space="preserve"> </w:t>
      </w:r>
      <w:r>
        <w:rPr>
          <w:rFonts w:ascii="Times New Roman" w:hAnsi="Times New Roman"/>
          <w:sz w:val="20"/>
        </w:rPr>
        <w:t xml:space="preserve">re-annotation of a severity validation sample, which was beyond the</w:t>
      </w:r>
      <w:r>
        <w:rPr>
          <w:rFonts w:ascii="Times New Roman" w:hAnsi="Times New Roman"/>
          <w:sz w:val="20"/>
        </w:rPr>
        <w:t xml:space="preserve"> </w:t>
      </w:r>
      <w:r>
        <w:rPr>
          <w:rFonts w:ascii="Times New Roman" w:hAnsi="Times New Roman"/>
          <w:sz w:val="20"/>
        </w:rPr>
        <w:t xml:space="preserve">scope of this work.</w:t>
      </w:r>
    </w:p>
    <w:p>
      <w:pPr>
        <w:pStyle w:val="BodyText"/>
        <w:jc w:val="both"/>
      </w:pPr>
      <w:r>
        <w:rPr>
          <w:b/>
          <w:bCs/>
        </w:rPr>
        <w:t xml:space="preserve">5. No cross-crop generalisation.</w:t>
      </w:r>
      <w:r>
        <w:rPr>
          <w:rFonts w:ascii="Times New Roman" w:hAnsi="Times New Roman"/>
          <w:sz w:val="20"/>
        </w:rPr>
        <w:t xml:space="preserve"> </w:t>
      </w:r>
      <w:r>
        <w:rPr>
          <w:rFonts w:ascii="Times New Roman" w:hAnsi="Times New Roman"/>
          <w:sz w:val="20"/>
        </w:rPr>
        <w:t xml:space="preserve">PomeGuard is entirely specific to</w:t>
      </w:r>
      <w:r>
        <w:rPr>
          <w:rFonts w:ascii="Times New Roman" w:hAnsi="Times New Roman"/>
          <w:sz w:val="20"/>
        </w:rPr>
        <w:t xml:space="preserve"> </w:t>
      </w:r>
      <w:r>
        <w:rPr>
          <w:rFonts w:ascii="Times New Roman" w:hAnsi="Times New Roman"/>
          <w:sz w:val="20"/>
        </w:rPr>
        <w:t xml:space="preserve">pomegranate. The Bhagwa phytochemical baseline values, disease class</w:t>
      </w:r>
      <w:r>
        <w:rPr>
          <w:rFonts w:ascii="Times New Roman" w:hAnsi="Times New Roman"/>
          <w:sz w:val="20"/>
        </w:rPr>
        <w:t xml:space="preserve"> </w:t>
      </w:r>
      <w:r>
        <w:rPr>
          <w:rFonts w:ascii="Times New Roman" w:hAnsi="Times New Roman"/>
          <w:sz w:val="20"/>
        </w:rPr>
        <w:t xml:space="preserve">taxonomy, and degradation rule coefficients are all cultivar-specific.</w:t>
      </w:r>
      <w:r>
        <w:rPr>
          <w:rFonts w:ascii="Times New Roman" w:hAnsi="Times New Roman"/>
          <w:sz w:val="20"/>
        </w:rPr>
        <w:t xml:space="preserve"> </w:t>
      </w:r>
      <w:r>
        <w:rPr>
          <w:rFonts w:ascii="Times New Roman" w:hAnsi="Times New Roman"/>
          <w:sz w:val="20"/>
        </w:rPr>
        <w:t xml:space="preserve">Extension to Maharashtra’s other high-value crops (grape, onion,</w:t>
      </w:r>
      <w:r>
        <w:rPr>
          <w:rFonts w:ascii="Times New Roman" w:hAnsi="Times New Roman"/>
          <w:sz w:val="20"/>
        </w:rPr>
        <w:t xml:space="preserve"> </w:t>
      </w:r>
      <w:r>
        <w:rPr>
          <w:rFonts w:ascii="Times New Roman" w:hAnsi="Times New Roman"/>
          <w:sz w:val="20"/>
        </w:rPr>
        <w:t xml:space="preserve">soybean) requires an entirely new ontology and—at minimum—a</w:t>
      </w:r>
      <w:r>
        <w:rPr>
          <w:rFonts w:ascii="Times New Roman" w:hAnsi="Times New Roman"/>
          <w:sz w:val="20"/>
        </w:rPr>
        <w:t xml:space="preserve"> </w:t>
      </w:r>
      <w:r>
        <w:rPr>
          <w:rFonts w:ascii="Times New Roman" w:hAnsi="Times New Roman"/>
          <w:sz w:val="20"/>
        </w:rPr>
        <w:t xml:space="preserve">retraining of the vision head on a new disease taxonomy.</w:t>
      </w:r>
    </w:p>
    <w:p>
      <w:pPr>
        <w:pStyle w:val="BodyText"/>
        <w:jc w:val="both"/>
      </w:pPr>
      <w:r>
        <w:rPr>
          <w:b/>
          <w:bCs/>
        </w:rPr>
        <w:t xml:space="preserve">Future work</w:t>
      </w:r>
      <w:r>
        <w:rPr>
          <w:rFonts w:ascii="Times New Roman" w:hAnsi="Times New Roman"/>
          <w:sz w:val="20"/>
        </w:rPr>
        <w:t xml:space="preserve"> </w:t>
      </w:r>
      <w:r>
        <w:rPr>
          <w:rFonts w:ascii="Times New Roman" w:hAnsi="Times New Roman"/>
          <w:sz w:val="20"/>
        </w:rPr>
        <w:t xml:space="preserve">priorities, in order of impact on practical field</w:t>
      </w:r>
      <w:r>
        <w:rPr>
          <w:rFonts w:ascii="Times New Roman" w:hAnsi="Times New Roman"/>
          <w:sz w:val="20"/>
        </w:rPr>
        <w:t xml:space="preserve"> </w:t>
      </w:r>
      <w:r>
        <w:rPr>
          <w:rFonts w:ascii="Times New Roman" w:hAnsi="Times New Roman"/>
          <w:sz w:val="20"/>
        </w:rPr>
        <w:t xml:space="preserve">utility: (1) real-time weather API integration to replace manual</w:t>
      </w:r>
      <w:r>
        <w:rPr>
          <w:rFonts w:ascii="Times New Roman" w:hAnsi="Times New Roman"/>
          <w:sz w:val="20"/>
        </w:rPr>
        <w:t xml:space="preserve"> </w:t>
      </w:r>
      <w:r>
        <w:rPr>
          <w:rFonts w:ascii="Times New Roman" w:hAnsi="Times New Roman"/>
          <w:sz w:val="20"/>
        </w:rPr>
        <w:t xml:space="preserve">environmental input; (2) a prospective validation study producing paired</w:t>
      </w:r>
      <w:r>
        <w:rPr>
          <w:rFonts w:ascii="Times New Roman" w:hAnsi="Times New Roman"/>
          <w:sz w:val="20"/>
        </w:rPr>
        <w:t xml:space="preserve"> </w:t>
      </w:r>
      <w:r>
        <w:rPr>
          <w:rFonts w:ascii="Times New Roman" w:hAnsi="Times New Roman"/>
          <w:sz w:val="20"/>
        </w:rPr>
        <w:t xml:space="preserve">image-HPLC data for phytochemical rule calibration; (3) cross-district</w:t>
      </w:r>
      <w:r>
        <w:rPr>
          <w:rFonts w:ascii="Times New Roman" w:hAnsi="Times New Roman"/>
          <w:sz w:val="20"/>
        </w:rPr>
        <w:t xml:space="preserve"> </w:t>
      </w:r>
      <w:r>
        <w:rPr>
          <w:rFonts w:ascii="Times New Roman" w:hAnsi="Times New Roman"/>
          <w:sz w:val="20"/>
        </w:rPr>
        <w:t xml:space="preserve">validation on Maharashtra Solapur farm images; (4) WhatsApp Bot</w:t>
      </w:r>
      <w:r>
        <w:rPr>
          <w:rFonts w:ascii="Times New Roman" w:hAnsi="Times New Roman"/>
          <w:sz w:val="20"/>
        </w:rPr>
        <w:t xml:space="preserve"> </w:t>
      </w:r>
      <w:r>
        <w:rPr>
          <w:rFonts w:ascii="Times New Roman" w:hAnsi="Times New Roman"/>
          <w:sz w:val="20"/>
        </w:rPr>
        <w:t xml:space="preserve">integration for rural farmer access without a smartphone browser; (5)</w:t>
      </w:r>
      <w:r>
        <w:rPr>
          <w:rFonts w:ascii="Times New Roman" w:hAnsi="Times New Roman"/>
          <w:sz w:val="20"/>
        </w:rPr>
        <w:t xml:space="preserve"> </w:t>
      </w:r>
      <w:r>
        <w:rPr>
          <w:rFonts w:ascii="Times New Roman" w:hAnsi="Times New Roman"/>
          <w:sz w:val="20"/>
        </w:rPr>
        <w:t xml:space="preserve">multilingual advisory generation in Marathi and Hindi; (6)</w:t>
      </w:r>
      <w:r>
        <w:rPr>
          <w:rFonts w:ascii="Times New Roman" w:hAnsi="Times New Roman"/>
          <w:sz w:val="20"/>
        </w:rPr>
        <w:t xml:space="preserve"> </w:t>
      </w:r>
      <w:r>
        <w:rPr>
          <w:rFonts w:ascii="Times New Roman" w:hAnsi="Times New Roman"/>
          <w:sz w:val="20"/>
        </w:rPr>
        <w:t xml:space="preserve">offline-capable edge deployment on Raspberry Pi 5 for no-connectivity</w:t>
      </w:r>
      <w:r>
        <w:rPr>
          <w:rFonts w:ascii="Times New Roman" w:hAnsi="Times New Roman"/>
          <w:sz w:val="20"/>
        </w:rPr>
        <w:t xml:space="preserve"> </w:t>
      </w:r>
      <w:r>
        <w:rPr>
          <w:rFonts w:ascii="Times New Roman" w:hAnsi="Times New Roman"/>
          <w:sz w:val="20"/>
        </w:rPr>
        <w:t xml:space="preserve">operation; and (7) investigation of neuro-symbolic hybrid architectures</w:t>
      </w:r>
      <w:r>
        <w:rPr>
          <w:rFonts w:ascii="Times New Roman" w:hAnsi="Times New Roman"/>
          <w:sz w:val="20"/>
        </w:rPr>
        <w:t xml:space="preserve"> </w:t>
      </w:r>
      <w:r>
        <w:rPr>
          <w:rFonts w:ascii="Times New Roman" w:hAnsi="Times New Roman"/>
          <w:sz w:val="20"/>
        </w:rPr>
        <w:t xml:space="preserve">that treat ontological rules as a learnable prior for phytochemical</w:t>
      </w:r>
      <w:r>
        <w:rPr>
          <w:rFonts w:ascii="Times New Roman" w:hAnsi="Times New Roman"/>
          <w:sz w:val="20"/>
        </w:rPr>
        <w:t xml:space="preserve"> </w:t>
      </w:r>
      <w:r>
        <w:rPr>
          <w:rFonts w:ascii="Times New Roman" w:hAnsi="Times New Roman"/>
          <w:sz w:val="20"/>
        </w:rPr>
        <w:t xml:space="preserve">regression.</w:t>
      </w:r>
    </w:p>
    <w:bookmarkEnd w:id="38"/>
    <w:bookmarkStart w:id="66" w:name="sec:conclusion"/>
    <w:p>
      <w:pPr>
        <w:pStyle w:val="Heading1"/>
      </w:pPr>
      <w:r>
        <w:t xml:space="preserve">Conclusion</w:t>
      </w:r>
    </w:p>
    <w:p>
      <w:pPr>
        <w:pStyle w:val="FirstParagraph"/>
      </w:pPr>
      <w:r>
        <w:t xml:space="preserve">Three contributions were presented. A fine-tuned EfficientNetB0 vision</w:t>
      </w:r>
      <w:r>
        <w:t xml:space="preserve"> </w:t>
      </w:r>
      <w:r>
        <w:t xml:space="preserve">pipeline achieved 98.9% overall F1-score across five pomegranate disease</w:t>
      </w:r>
      <w:r>
        <w:t xml:space="preserve"> </w:t>
      </w:r>
      <w:r>
        <w:t xml:space="preserve">classes on the Pakruddin et al. dataset, with no class falling below</w:t>
      </w:r>
      <w:r>
        <w:t xml:space="preserve"> </w:t>
      </w:r>
      <w:r>
        <w:t xml:space="preserve">98.3% and all class-level AUC values above 0.996. An OWL 2 DL ontology</w:t>
      </w:r>
      <w:r>
        <w:t xml:space="preserve"> </w:t>
      </w:r>
      <w:r>
        <w:t xml:space="preserve">encoding expert-validated biochemical degradation rules—mapping</w:t>
      </w:r>
      <w:r>
        <w:t xml:space="preserve"> </w:t>
      </w:r>
      <w:r>
        <w:t xml:space="preserve">Bacterial Blight, Anthracnose, Cercospora, and Alternaria infections at</w:t>
      </w:r>
      <w:r>
        <w:t xml:space="preserve"> </w:t>
      </w:r>
      <w:r>
        <w:t xml:space="preserve">quantified severity and environmental stress levels to Anthocyanin,</w:t>
      </w:r>
      <w:r>
        <w:t xml:space="preserve"> </w:t>
      </w:r>
      <w:r>
        <w:t xml:space="preserve">Punicalagin, and Ellagic Acid degradation coefficients—provides</w:t>
      </w:r>
      <w:r>
        <w:t xml:space="preserve"> </w:t>
      </w:r>
      <w:r>
        <w:t xml:space="preserve">non-destructive phytochemical inference without laboratory sampling. A</w:t>
      </w:r>
      <w:r>
        <w:t xml:space="preserve"> </w:t>
      </w:r>
      <w:r>
        <w:t xml:space="preserve">LangGraph StateGraph multi-agent architecture coordinates four agents</w:t>
      </w:r>
      <w:r>
        <w:t xml:space="preserve"> </w:t>
      </w:r>
      <w:r>
        <w:t xml:space="preserve">(Vision, Environmental, Ontological, Reporting) over a shared typed</w:t>
      </w:r>
      <w:r>
        <w:t xml:space="preserve"> </w:t>
      </w:r>
      <w:r>
        <w:t xml:space="preserve">state schema with conditional routing and checkpoint-based fault</w:t>
      </w:r>
      <w:r>
        <w:t xml:space="preserve"> </w:t>
      </w:r>
      <w:r>
        <w:t xml:space="preserve">recovery.</w:t>
      </w:r>
    </w:p>
    <w:p>
      <w:pPr>
        <w:pStyle w:val="BodyText"/>
        <w:jc w:val="both"/>
      </w:pPr>
      <w:r>
        <w:rPr>
          <w:rFonts w:ascii="Times New Roman" w:hAnsi="Times New Roman"/>
          <w:sz w:val="20"/>
        </w:rPr>
        <w:t xml:space="preserve">The architectural pattern introduced here—coupling a vision classifier</w:t>
      </w:r>
      <w:r>
        <w:rPr>
          <w:rFonts w:ascii="Times New Roman" w:hAnsi="Times New Roman"/>
          <w:sz w:val="20"/>
        </w:rPr>
        <w:t xml:space="preserve"> </w:t>
      </w:r>
      <w:r>
        <w:rPr>
          <w:rFonts w:ascii="Times New Roman" w:hAnsi="Times New Roman"/>
          <w:sz w:val="20"/>
        </w:rPr>
        <w:t xml:space="preserve">with a domain-knowledge ontology to infer biochemical properties that</w:t>
      </w:r>
      <w:r>
        <w:rPr>
          <w:rFonts w:ascii="Times New Roman" w:hAnsi="Times New Roman"/>
          <w:sz w:val="20"/>
        </w:rPr>
        <w:t xml:space="preserve"> </w:t>
      </w:r>
      <w:r>
        <w:rPr>
          <w:rFonts w:ascii="Times New Roman" w:hAnsi="Times New Roman"/>
          <w:sz w:val="20"/>
        </w:rPr>
        <w:t xml:space="preserve">are not directly observable from imagery—is general. It applies</w:t>
      </w:r>
      <w:r>
        <w:rPr>
          <w:rFonts w:ascii="Times New Roman" w:hAnsi="Times New Roman"/>
          <w:sz w:val="20"/>
        </w:rPr>
        <w:t xml:space="preserve"> </w:t>
      </w:r>
      <w:r>
        <w:rPr>
          <w:rFonts w:ascii="Times New Roman" w:hAnsi="Times New Roman"/>
          <w:sz w:val="20"/>
        </w:rPr>
        <w:t xml:space="preserve">wherever external symptoms correlate with internal compound degradation</w:t>
      </w:r>
      <w:r>
        <w:rPr>
          <w:rFonts w:ascii="Times New Roman" w:hAnsi="Times New Roman"/>
          <w:sz w:val="20"/>
        </w:rPr>
        <w:t xml:space="preserve"> </w:t>
      </w:r>
      <w:r>
        <w:rPr>
          <w:rFonts w:ascii="Times New Roman" w:hAnsi="Times New Roman"/>
          <w:sz w:val="20"/>
        </w:rPr>
        <w:t xml:space="preserve">through well-characterised biochemical pathways, and where the cost of</w:t>
      </w:r>
      <w:r>
        <w:rPr>
          <w:rFonts w:ascii="Times New Roman" w:hAnsi="Times New Roman"/>
          <w:sz w:val="20"/>
        </w:rPr>
        <w:t xml:space="preserve"> </w:t>
      </w:r>
      <w:r>
        <w:rPr>
          <w:rFonts w:ascii="Times New Roman" w:hAnsi="Times New Roman"/>
          <w:sz w:val="20"/>
        </w:rPr>
        <w:t xml:space="preserve">direct measurement is prohibitive at the operational scale required.</w:t>
      </w:r>
      <w:r>
        <w:rPr>
          <w:rFonts w:ascii="Times New Roman" w:hAnsi="Times New Roman"/>
          <w:sz w:val="20"/>
        </w:rPr>
        <w:t xml:space="preserve"> </w:t>
      </w:r>
      <w:r>
        <w:rPr>
          <w:rFonts w:ascii="Times New Roman" w:hAnsi="Times New Roman"/>
          <w:sz w:val="20"/>
        </w:rPr>
        <w:t xml:space="preserve">Grape phylloxera stress and polyphenol composition, onion purple blotch</w:t>
      </w:r>
      <w:r>
        <w:rPr>
          <w:rFonts w:ascii="Times New Roman" w:hAnsi="Times New Roman"/>
          <w:sz w:val="20"/>
        </w:rPr>
        <w:t xml:space="preserve"> </w:t>
      </w:r>
      <w:r>
        <w:rPr>
          <w:rFonts w:ascii="Times New Roman" w:hAnsi="Times New Roman"/>
          <w:sz w:val="20"/>
        </w:rPr>
        <w:t xml:space="preserve">and sulphur compound degradation, and mango anthracnose and</w:t>
      </w:r>
      <w:r>
        <w:rPr>
          <w:rFonts w:ascii="Times New Roman" w:hAnsi="Times New Roman"/>
          <w:sz w:val="20"/>
        </w:rPr>
        <w:t xml:space="preserve"> </w:t>
      </w:r>
      <m:oMath>
        <m:r>
          <m:t>β</m:t>
        </m:r>
      </m:oMath>
      <w:r>
        <w:rPr>
          <w:rFonts w:ascii="Times New Roman" w:hAnsi="Times New Roman"/>
          <w:sz w:val="20"/>
        </w:rPr>
        <w:t xml:space="preserve">-carotene loss are three obvious extension cases, each with</w:t>
      </w:r>
      <w:r>
        <w:rPr>
          <w:rFonts w:ascii="Times New Roman" w:hAnsi="Times New Roman"/>
          <w:sz w:val="20"/>
        </w:rPr>
        <w:t xml:space="preserve"> </w:t>
      </w:r>
      <w:r>
        <w:rPr>
          <w:rFonts w:ascii="Times New Roman" w:hAnsi="Times New Roman"/>
          <w:sz w:val="20"/>
        </w:rPr>
        <w:t xml:space="preserve">published disease-compound relationship data suitable for ontology</w:t>
      </w:r>
      <w:r>
        <w:rPr>
          <w:rFonts w:ascii="Times New Roman" w:hAnsi="Times New Roman"/>
          <w:sz w:val="20"/>
        </w:rPr>
        <w:t xml:space="preserve"> </w:t>
      </w:r>
      <w:r>
        <w:rPr>
          <w:rFonts w:ascii="Times New Roman" w:hAnsi="Times New Roman"/>
          <w:sz w:val="20"/>
        </w:rPr>
        <w:t xml:space="preserve">encoding.</w:t>
      </w:r>
    </w:p>
    <w:p>
      <w:pPr>
        <w:pStyle w:val="BodyText"/>
        <w:jc w:val="both"/>
      </w:pPr>
      <w:r>
        <w:rPr>
          <w:rFonts w:ascii="Times New Roman" w:hAnsi="Times New Roman"/>
          <w:sz w:val="20"/>
        </w:rPr>
        <w:t xml:space="preserve">Agricultural AI is moving toward autonomous field agents that do not</w:t>
      </w:r>
      <w:r>
        <w:rPr>
          <w:rFonts w:ascii="Times New Roman" w:hAnsi="Times New Roman"/>
          <w:sz w:val="20"/>
        </w:rPr>
        <w:t xml:space="preserve"> </w:t>
      </w:r>
      <w:r>
        <w:rPr>
          <w:rFonts w:ascii="Times New Roman" w:hAnsi="Times New Roman"/>
          <w:sz w:val="20"/>
        </w:rPr>
        <w:t xml:space="preserve">merely classify what is visible, but reason about what is invisible.</w:t>
      </w:r>
      <w:r>
        <w:rPr>
          <w:rFonts w:ascii="Times New Roman" w:hAnsi="Times New Roman"/>
          <w:sz w:val="20"/>
        </w:rPr>
        <w:t xml:space="preserve"> </w:t>
      </w:r>
      <w:r>
        <w:rPr>
          <w:rFonts w:ascii="Times New Roman" w:hAnsi="Times New Roman"/>
          <w:sz w:val="20"/>
        </w:rPr>
        <w:t xml:space="preserve">PomeGuard is a step in that direction—grounded in a real system,</w:t>
      </w:r>
      <w:r>
        <w:rPr>
          <w:rFonts w:ascii="Times New Roman" w:hAnsi="Times New Roman"/>
          <w:sz w:val="20"/>
        </w:rPr>
        <w:t xml:space="preserve"> </w:t>
      </w:r>
      <w:r>
        <w:rPr>
          <w:rFonts w:ascii="Times New Roman" w:hAnsi="Times New Roman"/>
          <w:sz w:val="20"/>
        </w:rPr>
        <w:t xml:space="preserve">tested on real data, and honest about where it falls short.</w:t>
      </w:r>
    </w:p>
    <w:p>
      <w:pPr>
        <w:pStyle w:val="BodyText"/>
        <w:jc w:val="both"/>
      </w:pPr>
      <w:r>
        <w:rPr>
          <w:rFonts w:ascii="Times New Roman" w:hAnsi="Times New Roman"/>
          <w:sz w:val="20"/>
        </w:rPr>
        <w:t xml:space="preserve">Aviram, Michael, Leslie Dornfeld, Mira Rosenblat, et al. 2000.</w:t>
      </w:r>
      <w:r>
        <w:rPr>
          <w:rFonts w:ascii="Times New Roman" w:hAnsi="Times New Roman"/>
          <w:sz w:val="20"/>
        </w:rPr>
        <w:t xml:space="preserve"> </w:t>
      </w:r>
      <w:r>
        <w:rPr>
          <w:rFonts w:ascii="Times New Roman" w:hAnsi="Times New Roman"/>
          <w:sz w:val="20"/>
        </w:rPr>
        <w:t xml:space="preserve">“Pomegranate Juice Consumption Reduces Oxidative Stress, Atherogenic</w:t>
      </w:r>
      <w:r>
        <w:rPr>
          <w:rFonts w:ascii="Times New Roman" w:hAnsi="Times New Roman"/>
          <w:sz w:val="20"/>
        </w:rPr>
        <w:t xml:space="preserve"> </w:t>
      </w:r>
      <w:r>
        <w:rPr>
          <w:rFonts w:ascii="Times New Roman" w:hAnsi="Times New Roman"/>
          <w:sz w:val="20"/>
        </w:rPr>
        <w:t xml:space="preserve">Modifications to LDL, and Platelet Aggregation: Studies in Humans and in</w:t>
      </w:r>
      <w:r>
        <w:rPr>
          <w:rFonts w:ascii="Times New Roman" w:hAnsi="Times New Roman"/>
          <w:sz w:val="20"/>
        </w:rPr>
        <w:t xml:space="preserve"> </w:t>
      </w:r>
      <w:r>
        <w:rPr>
          <w:rFonts w:ascii="Times New Roman" w:hAnsi="Times New Roman"/>
          <w:sz w:val="20"/>
        </w:rPr>
        <w:t xml:space="preserve">Atherosclerotic Apolipoprotein e-Deficient Mice.”</w:t>
      </w:r>
      <w:r>
        <w:rPr>
          <w:rFonts w:ascii="Times New Roman" w:hAnsi="Times New Roman"/>
          <w:sz w:val="20"/>
        </w:rPr>
        <w:t xml:space="preserve"> </w:t>
      </w:r>
      <w:r>
        <w:rPr>
          <w:i/>
          <w:iCs/>
        </w:rPr>
        <w:t xml:space="preserve">The American Journal</w:t>
      </w:r>
      <w:r>
        <w:rPr>
          <w:i/>
          <w:iCs/>
        </w:rPr>
        <w:t xml:space="preserve"> </w:t>
      </w:r>
      <w:r>
        <w:rPr>
          <w:i/>
          <w:iCs/>
        </w:rPr>
        <w:t xml:space="preserve">of Clinical Nutrition</w:t>
      </w:r>
      <w:r>
        <w:rPr>
          <w:rFonts w:ascii="Times New Roman" w:hAnsi="Times New Roman"/>
          <w:sz w:val="20"/>
        </w:rPr>
        <w:t xml:space="preserve"> </w:t>
      </w:r>
      <w:r>
        <w:rPr>
          <w:rFonts w:ascii="Times New Roman" w:hAnsi="Times New Roman"/>
          <w:sz w:val="20"/>
        </w:rPr>
        <w:t xml:space="preserve">71 (5): 1062–76.</w:t>
      </w:r>
      <w:r>
        <w:rPr>
          <w:rFonts w:ascii="Times New Roman" w:hAnsi="Times New Roman"/>
          <w:sz w:val="20"/>
        </w:rPr>
        <w:t xml:space="preserve"> </w:t>
      </w:r>
      <w:hyperlink r:id="rId39">
        <w:r>
          <w:rPr>
            <w:rStyle w:val="Hyperlink"/>
          </w:rPr>
          <w:t xml:space="preserve">https://doi.org/10.1093/ajcn/71.5.1062</w:t>
        </w:r>
      </w:hyperlink>
      <w:r>
        <w:rPr>
          <w:rFonts w:ascii="Times New Roman" w:hAnsi="Times New Roman"/>
          <w:sz w:val="20"/>
        </w:rPr>
        <w:t xml:space="preserve">.</w:t>
      </w:r>
    </w:p>
    <w:p>
      <w:pPr>
        <w:pStyle w:val="BodyText"/>
        <w:jc w:val="both"/>
      </w:pPr>
      <w:r>
        <w:rPr>
          <w:rFonts w:ascii="Times New Roman" w:hAnsi="Times New Roman"/>
          <w:sz w:val="20"/>
        </w:rPr>
        <w:t xml:space="preserve">Barbedo, Jayme Garcia Arnal. 2016.</w:t>
      </w:r>
      <w:r>
        <w:rPr>
          <w:rFonts w:ascii="Times New Roman" w:hAnsi="Times New Roman"/>
          <w:sz w:val="20"/>
        </w:rPr>
        <w:t xml:space="preserve"> </w:t>
      </w:r>
      <w:r>
        <w:rPr>
          <w:rFonts w:ascii="Times New Roman" w:hAnsi="Times New Roman"/>
          <w:sz w:val="20"/>
        </w:rPr>
        <w:t xml:space="preserve">“A Review on the Main Challenges in</w:t>
      </w:r>
      <w:r>
        <w:rPr>
          <w:rFonts w:ascii="Times New Roman" w:hAnsi="Times New Roman"/>
          <w:sz w:val="20"/>
        </w:rPr>
        <w:t xml:space="preserve"> </w:t>
      </w:r>
      <w:r>
        <w:rPr>
          <w:rFonts w:ascii="Times New Roman" w:hAnsi="Times New Roman"/>
          <w:sz w:val="20"/>
        </w:rPr>
        <w:t xml:space="preserve">Automatic Plant Disease Identification Based on Visible Range Images.”</w:t>
      </w:r>
      <w:r>
        <w:rPr>
          <w:rFonts w:ascii="Times New Roman" w:hAnsi="Times New Roman"/>
          <w:sz w:val="20"/>
        </w:rPr>
        <w:t xml:space="preserve"> </w:t>
      </w:r>
      <w:r>
        <w:rPr>
          <w:i/>
          <w:iCs/>
        </w:rPr>
        <w:t xml:space="preserve">EURASIP Journal on Image and Video Processing</w:t>
      </w:r>
      <w:r>
        <w:rPr>
          <w:rFonts w:ascii="Times New Roman" w:hAnsi="Times New Roman"/>
          <w:sz w:val="20"/>
        </w:rPr>
        <w:t xml:space="preserve"> </w:t>
      </w:r>
      <w:r>
        <w:rPr>
          <w:rFonts w:ascii="Times New Roman" w:hAnsi="Times New Roman"/>
          <w:sz w:val="20"/>
        </w:rPr>
        <w:t xml:space="preserve">2016 (1): 1–13.</w:t>
      </w:r>
      <w:r>
        <w:rPr>
          <w:rFonts w:ascii="Times New Roman" w:hAnsi="Times New Roman"/>
          <w:sz w:val="20"/>
        </w:rPr>
        <w:t xml:space="preserve"> </w:t>
      </w:r>
      <w:hyperlink r:id="rId40">
        <w:r>
          <w:rPr>
            <w:rStyle w:val="Hyperlink"/>
          </w:rPr>
          <w:t xml:space="preserve">https://doi.org/10.1186/s13640-016-0076-0</w:t>
        </w:r>
      </w:hyperlink>
      <w:r>
        <w:rPr>
          <w:rFonts w:ascii="Times New Roman" w:hAnsi="Times New Roman"/>
          <w:sz w:val="20"/>
        </w:rPr>
        <w:t xml:space="preserve">.</w:t>
      </w:r>
    </w:p>
    <w:p>
      <w:pPr>
        <w:pStyle w:val="BodyText"/>
        <w:jc w:val="both"/>
      </w:pPr>
      <w:r>
        <w:rPr>
          <w:rFonts w:ascii="Times New Roman" w:hAnsi="Times New Roman"/>
          <w:sz w:val="20"/>
        </w:rPr>
        <w:t xml:space="preserve">Caracciolo, Caterina, Armando Stellato, Ahsan Morshed, et al. 2013.</w:t>
      </w:r>
      <w:r>
        <w:rPr>
          <w:rFonts w:ascii="Times New Roman" w:hAnsi="Times New Roman"/>
          <w:sz w:val="20"/>
        </w:rPr>
        <w:t xml:space="preserve"> </w:t>
      </w:r>
      <w:r>
        <w:rPr>
          <w:rFonts w:ascii="Times New Roman" w:hAnsi="Times New Roman"/>
          <w:sz w:val="20"/>
        </w:rPr>
        <w:t xml:space="preserve">“AGROVOC: A Linked Dataset about Food and Agriculture.”</w:t>
      </w:r>
      <w:r>
        <w:rPr>
          <w:rFonts w:ascii="Times New Roman" w:hAnsi="Times New Roman"/>
          <w:sz w:val="20"/>
        </w:rPr>
        <w:t xml:space="preserve"> </w:t>
      </w:r>
      <w:r>
        <w:rPr>
          <w:i/>
          <w:iCs/>
        </w:rPr>
        <w:t xml:space="preserve">Semantic Web</w:t>
      </w:r>
      <w:r>
        <w:rPr>
          <w:rFonts w:ascii="Times New Roman" w:hAnsi="Times New Roman"/>
          <w:sz w:val="20"/>
        </w:rPr>
        <w:t xml:space="preserve"> </w:t>
      </w:r>
      <w:r>
        <w:rPr>
          <w:rFonts w:ascii="Times New Roman" w:hAnsi="Times New Roman"/>
          <w:sz w:val="20"/>
        </w:rPr>
        <w:t xml:space="preserve">4</w:t>
      </w:r>
      <w:r>
        <w:rPr>
          <w:rFonts w:ascii="Times New Roman" w:hAnsi="Times New Roman"/>
          <w:sz w:val="20"/>
        </w:rPr>
        <w:t xml:space="preserve"> </w:t>
      </w:r>
      <w:r>
        <w:rPr>
          <w:rFonts w:ascii="Times New Roman" w:hAnsi="Times New Roman"/>
          <w:sz w:val="20"/>
        </w:rPr>
        <w:t xml:space="preserve">(3): 341–48.</w:t>
      </w:r>
      <w:r>
        <w:rPr>
          <w:rFonts w:ascii="Times New Roman" w:hAnsi="Times New Roman"/>
          <w:sz w:val="20"/>
        </w:rPr>
        <w:t xml:space="preserve"> </w:t>
      </w:r>
      <w:hyperlink r:id="rId41">
        <w:r>
          <w:rPr>
            <w:rStyle w:val="Hyperlink"/>
          </w:rPr>
          <w:t xml:space="preserve">https://doi.org/10.3233/SW-130106</w:t>
        </w:r>
      </w:hyperlink>
      <w:r>
        <w:rPr>
          <w:rFonts w:ascii="Times New Roman" w:hAnsi="Times New Roman"/>
          <w:sz w:val="20"/>
        </w:rPr>
        <w:t xml:space="preserve">.</w:t>
      </w:r>
    </w:p>
    <w:p>
      <w:pPr>
        <w:pStyle w:val="BodyText"/>
        <w:jc w:val="both"/>
      </w:pPr>
      <w:r>
        <w:rPr>
          <w:rFonts w:ascii="Times New Roman" w:hAnsi="Times New Roman"/>
          <w:sz w:val="20"/>
        </w:rPr>
        <w:t xml:space="preserve">Cerdá, Begoña, Francisco A. Tomás-Barberán, and Juan Carlos Espín. 2005.</w:t>
      </w:r>
      <w:r>
        <w:rPr>
          <w:rFonts w:ascii="Times New Roman" w:hAnsi="Times New Roman"/>
          <w:sz w:val="20"/>
        </w:rPr>
        <w:t xml:space="preserve"> </w:t>
      </w:r>
      <w:r>
        <w:rPr>
          <w:rFonts w:ascii="Times New Roman" w:hAnsi="Times New Roman"/>
          <w:sz w:val="20"/>
        </w:rPr>
        <w:t xml:space="preserve">“Metabolism of Antioxidant and Chemopreventive Ellagitannins from</w:t>
      </w:r>
      <w:r>
        <w:rPr>
          <w:rFonts w:ascii="Times New Roman" w:hAnsi="Times New Roman"/>
          <w:sz w:val="20"/>
        </w:rPr>
        <w:t xml:space="preserve"> </w:t>
      </w:r>
      <w:r>
        <w:rPr>
          <w:rFonts w:ascii="Times New Roman" w:hAnsi="Times New Roman"/>
          <w:sz w:val="20"/>
        </w:rPr>
        <w:t xml:space="preserve">Strawberries, Raspberries, Walnuts, and Oak-Aged Wine in Humans:</w:t>
      </w:r>
      <w:r>
        <w:rPr>
          <w:rFonts w:ascii="Times New Roman" w:hAnsi="Times New Roman"/>
          <w:sz w:val="20"/>
        </w:rPr>
        <w:t xml:space="preserve"> </w:t>
      </w:r>
      <w:r>
        <w:rPr>
          <w:rFonts w:ascii="Times New Roman" w:hAnsi="Times New Roman"/>
          <w:sz w:val="20"/>
        </w:rPr>
        <w:t xml:space="preserve">Identification of Biomarkers and Individual Variability.”</w:t>
      </w:r>
      <w:r>
        <w:rPr>
          <w:rFonts w:ascii="Times New Roman" w:hAnsi="Times New Roman"/>
          <w:sz w:val="20"/>
        </w:rPr>
        <w:t xml:space="preserve"> </w:t>
      </w:r>
      <w:r>
        <w:rPr>
          <w:i/>
          <w:iCs/>
        </w:rPr>
        <w:t xml:space="preserve">Journal of</w:t>
      </w:r>
      <w:r>
        <w:rPr>
          <w:i/>
          <w:iCs/>
        </w:rPr>
        <w:t xml:space="preserve"> </w:t>
      </w:r>
      <w:r>
        <w:rPr>
          <w:i/>
          <w:iCs/>
        </w:rPr>
        <w:t xml:space="preserve">Agricultural and Food Chemistry</w:t>
      </w:r>
      <w:r>
        <w:rPr>
          <w:rFonts w:ascii="Times New Roman" w:hAnsi="Times New Roman"/>
          <w:sz w:val="20"/>
        </w:rPr>
        <w:t xml:space="preserve"> </w:t>
      </w:r>
      <w:r>
        <w:rPr>
          <w:rFonts w:ascii="Times New Roman" w:hAnsi="Times New Roman"/>
          <w:sz w:val="20"/>
        </w:rPr>
        <w:t xml:space="preserve">53 (2): 227–35.</w:t>
      </w:r>
      <w:r>
        <w:rPr>
          <w:rFonts w:ascii="Times New Roman" w:hAnsi="Times New Roman"/>
          <w:sz w:val="20"/>
        </w:rPr>
        <w:t xml:space="preserve"> </w:t>
      </w:r>
      <w:hyperlink r:id="rId42">
        <w:r>
          <w:rPr>
            <w:rStyle w:val="Hyperlink"/>
          </w:rPr>
          <w:t xml:space="preserve">https://doi.org/10.1021/jf049144d</w:t>
        </w:r>
      </w:hyperlink>
      <w:r>
        <w:rPr>
          <w:rFonts w:ascii="Times New Roman" w:hAnsi="Times New Roman"/>
          <w:sz w:val="20"/>
        </w:rPr>
        <w:t xml:space="preserve">.</w:t>
      </w:r>
    </w:p>
    <w:p>
      <w:pPr>
        <w:pStyle w:val="BodyText"/>
        <w:jc w:val="both"/>
      </w:pPr>
      <w:r>
        <w:rPr>
          <w:rFonts w:ascii="Times New Roman" w:hAnsi="Times New Roman"/>
          <w:sz w:val="20"/>
        </w:rPr>
        <w:t xml:space="preserve">Crop Ontology Consortium. 2013.</w:t>
      </w:r>
      <w:r>
        <w:rPr>
          <w:rFonts w:ascii="Times New Roman" w:hAnsi="Times New Roman"/>
          <w:sz w:val="20"/>
        </w:rPr>
        <w:t xml:space="preserve"> </w:t>
      </w:r>
      <w:r>
        <w:rPr>
          <w:i/>
          <w:iCs/>
        </w:rPr>
        <w:t xml:space="preserve">Crop Ontology: Controlled Vocabularies</w:t>
      </w:r>
      <w:r>
        <w:rPr>
          <w:i/>
          <w:iCs/>
        </w:rPr>
        <w:t xml:space="preserve"> </w:t>
      </w:r>
      <w:r>
        <w:rPr>
          <w:i/>
          <w:iCs/>
        </w:rPr>
        <w:t xml:space="preserve">for Plant Biology and Breeding</w:t>
      </w:r>
      <w:r>
        <w:rPr>
          <w:rFonts w:ascii="Times New Roman" w:hAnsi="Times New Roman"/>
          <w:sz w:val="20"/>
        </w:rPr>
        <w:t xml:space="preserve">. Online database,</w:t>
      </w:r>
      <w:r>
        <w:rPr>
          <w:rFonts w:ascii="Times New Roman" w:hAnsi="Times New Roman"/>
          <w:sz w:val="20"/>
        </w:rPr>
        <w:t xml:space="preserve"> </w:t>
      </w:r>
      <w:hyperlink r:id="rId43">
        <w:r>
          <w:rPr>
            <w:rStyle w:val="Hyperlink"/>
          </w:rPr>
          <w:t xml:space="preserve">https://www.cropontology.org</w:t>
        </w:r>
      </w:hyperlink>
      <w:r>
        <w:rPr>
          <w:rFonts w:ascii="Times New Roman" w:hAnsi="Times New Roman"/>
          <w:sz w:val="20"/>
        </w:rPr>
        <w:t xml:space="preserve">.</w:t>
      </w:r>
    </w:p>
    <w:p>
      <w:pPr>
        <w:pStyle w:val="BodyText"/>
        <w:jc w:val="both"/>
      </w:pPr>
      <w:r>
        <w:rPr>
          <w:rFonts w:ascii="Times New Roman" w:hAnsi="Times New Roman"/>
          <w:sz w:val="20"/>
        </w:rPr>
        <w:t xml:space="preserve">Deng, Jia, Wei Dong, Richard Socher, Li-Jia Li, Kai Li, and Li Fei-Fei.</w:t>
      </w:r>
      <w:r>
        <w:rPr>
          <w:rFonts w:ascii="Times New Roman" w:hAnsi="Times New Roman"/>
          <w:sz w:val="20"/>
        </w:rPr>
        <w:t xml:space="preserve"> </w:t>
      </w:r>
      <w:r>
        <w:rPr>
          <w:rFonts w:ascii="Times New Roman" w:hAnsi="Times New Roman"/>
          <w:sz w:val="20"/>
        </w:rPr>
        <w:t xml:space="preserve">2009.</w:t>
      </w:r>
      <w:r>
        <w:rPr>
          <w:rFonts w:ascii="Times New Roman" w:hAnsi="Times New Roman"/>
          <w:sz w:val="20"/>
        </w:rPr>
        <w:t xml:space="preserve"> </w:t>
      </w:r>
      <w:r>
        <w:rPr>
          <w:rFonts w:ascii="Times New Roman" w:hAnsi="Times New Roman"/>
          <w:sz w:val="20"/>
        </w:rPr>
        <w:t xml:space="preserve">“ImageNet: A Large-Scale Hierarchical Image Database.”</w:t>
      </w:r>
      <w:r>
        <w:rPr>
          <w:rFonts w:ascii="Times New Roman" w:hAnsi="Times New Roman"/>
          <w:sz w:val="20"/>
        </w:rPr>
        <w:t xml:space="preserve"> </w:t>
      </w:r>
      <w:r>
        <w:rPr>
          <w:i/>
          <w:iCs/>
        </w:rPr>
        <w:t xml:space="preserve">Proceedings of the IEEE Conference on Computer Vision and Pattern</w:t>
      </w:r>
      <w:r>
        <w:rPr>
          <w:i/>
          <w:iCs/>
        </w:rPr>
        <w:t xml:space="preserve"> </w:t>
      </w:r>
      <w:r>
        <w:rPr>
          <w:i/>
          <w:iCs/>
        </w:rPr>
        <w:t xml:space="preserve">Recognition (CVPR)</w:t>
      </w:r>
      <w:r>
        <w:rPr>
          <w:rFonts w:ascii="Times New Roman" w:hAnsi="Times New Roman"/>
          <w:sz w:val="20"/>
        </w:rPr>
        <w:t xml:space="preserve">, 248–55.</w:t>
      </w:r>
      <w:r>
        <w:rPr>
          <w:rFonts w:ascii="Times New Roman" w:hAnsi="Times New Roman"/>
          <w:sz w:val="20"/>
        </w:rPr>
        <w:t xml:space="preserve"> </w:t>
      </w:r>
      <w:hyperlink r:id="rId44">
        <w:r>
          <w:rPr>
            <w:rStyle w:val="Hyperlink"/>
          </w:rPr>
          <w:t xml:space="preserve">https://doi.org/10.1109/CVPR.2009.5206848</w:t>
        </w:r>
      </w:hyperlink>
      <w:r>
        <w:rPr>
          <w:rFonts w:ascii="Times New Roman" w:hAnsi="Times New Roman"/>
          <w:sz w:val="20"/>
        </w:rPr>
        <w:t xml:space="preserve">.</w:t>
      </w:r>
    </w:p>
    <w:p>
      <w:pPr>
        <w:pStyle w:val="BodyText"/>
        <w:jc w:val="both"/>
      </w:pPr>
      <w:r>
        <w:rPr>
          <w:rFonts w:ascii="Times New Roman" w:hAnsi="Times New Roman"/>
          <w:sz w:val="20"/>
        </w:rPr>
        <w:t xml:space="preserve">Dorri, Ali, Salil S. Kanhere, and Raja Jurdak. 2018.</w:t>
      </w:r>
      <w:r>
        <w:rPr>
          <w:rFonts w:ascii="Times New Roman" w:hAnsi="Times New Roman"/>
          <w:sz w:val="20"/>
        </w:rPr>
        <w:t xml:space="preserve"> </w:t>
      </w:r>
      <w:r>
        <w:rPr>
          <w:rFonts w:ascii="Times New Roman" w:hAnsi="Times New Roman"/>
          <w:sz w:val="20"/>
        </w:rPr>
        <w:t xml:space="preserve">“Multi-Agent</w:t>
      </w:r>
      <w:r>
        <w:rPr>
          <w:rFonts w:ascii="Times New Roman" w:hAnsi="Times New Roman"/>
          <w:sz w:val="20"/>
        </w:rPr>
        <w:t xml:space="preserve"> </w:t>
      </w:r>
      <w:r>
        <w:rPr>
          <w:rFonts w:ascii="Times New Roman" w:hAnsi="Times New Roman"/>
          <w:sz w:val="20"/>
        </w:rPr>
        <w:t xml:space="preserve">Systems: A Survey.”</w:t>
      </w:r>
      <w:r>
        <w:rPr>
          <w:rFonts w:ascii="Times New Roman" w:hAnsi="Times New Roman"/>
          <w:sz w:val="20"/>
        </w:rPr>
        <w:t xml:space="preserve"> </w:t>
      </w:r>
      <w:r>
        <w:rPr>
          <w:i/>
          <w:iCs/>
        </w:rPr>
        <w:t xml:space="preserve">IEEE Access</w:t>
      </w:r>
      <w:r>
        <w:rPr>
          <w:rFonts w:ascii="Times New Roman" w:hAnsi="Times New Roman"/>
          <w:sz w:val="20"/>
        </w:rPr>
        <w:t xml:space="preserve"> </w:t>
      </w:r>
      <w:r>
        <w:rPr>
          <w:rFonts w:ascii="Times New Roman" w:hAnsi="Times New Roman"/>
          <w:sz w:val="20"/>
        </w:rPr>
        <w:t xml:space="preserve">6: 28573–93.</w:t>
      </w:r>
      <w:r>
        <w:rPr>
          <w:rFonts w:ascii="Times New Roman" w:hAnsi="Times New Roman"/>
          <w:sz w:val="20"/>
        </w:rPr>
        <w:t xml:space="preserve"> </w:t>
      </w:r>
      <w:hyperlink r:id="rId45">
        <w:r>
          <w:rPr>
            <w:rStyle w:val="Hyperlink"/>
          </w:rPr>
          <w:t xml:space="preserve">https://doi.org/10.1109/ACCESS.2018.2831228</w:t>
        </w:r>
      </w:hyperlink>
      <w:r>
        <w:rPr>
          <w:rFonts w:ascii="Times New Roman" w:hAnsi="Times New Roman"/>
          <w:sz w:val="20"/>
        </w:rPr>
        <w:t xml:space="preserve">.</w:t>
      </w:r>
    </w:p>
    <w:p>
      <w:pPr>
        <w:pStyle w:val="BodyText"/>
        <w:jc w:val="both"/>
      </w:pPr>
      <w:r>
        <w:rPr>
          <w:rFonts w:ascii="Times New Roman" w:hAnsi="Times New Roman"/>
          <w:sz w:val="20"/>
        </w:rPr>
        <w:t xml:space="preserve">ElMasry, Gamal, and Thaddaeus Wirth. 2012.</w:t>
      </w:r>
      <w:r>
        <w:rPr>
          <w:rFonts w:ascii="Times New Roman" w:hAnsi="Times New Roman"/>
          <w:sz w:val="20"/>
        </w:rPr>
        <w:t xml:space="preserve"> </w:t>
      </w:r>
      <w:r>
        <w:rPr>
          <w:rFonts w:ascii="Times New Roman" w:hAnsi="Times New Roman"/>
          <w:sz w:val="20"/>
        </w:rPr>
        <w:t xml:space="preserve">“Principles and Applications</w:t>
      </w:r>
      <w:r>
        <w:rPr>
          <w:rFonts w:ascii="Times New Roman" w:hAnsi="Times New Roman"/>
          <w:sz w:val="20"/>
        </w:rPr>
        <w:t xml:space="preserve"> </w:t>
      </w:r>
      <w:r>
        <w:rPr>
          <w:rFonts w:ascii="Times New Roman" w:hAnsi="Times New Roman"/>
          <w:sz w:val="20"/>
        </w:rPr>
        <w:t xml:space="preserve">of Hyperspectral Imaging in Quality Evaluation of Agro-Food Products: A</w:t>
      </w:r>
      <w:r>
        <w:rPr>
          <w:rFonts w:ascii="Times New Roman" w:hAnsi="Times New Roman"/>
          <w:sz w:val="20"/>
        </w:rPr>
        <w:t xml:space="preserve"> </w:t>
      </w:r>
      <w:r>
        <w:rPr>
          <w:rFonts w:ascii="Times New Roman" w:hAnsi="Times New Roman"/>
          <w:sz w:val="20"/>
        </w:rPr>
        <w:t xml:space="preserve">Review.”</w:t>
      </w:r>
      <w:r>
        <w:rPr>
          <w:rFonts w:ascii="Times New Roman" w:hAnsi="Times New Roman"/>
          <w:sz w:val="20"/>
        </w:rPr>
        <w:t xml:space="preserve"> </w:t>
      </w:r>
      <w:r>
        <w:rPr>
          <w:i/>
          <w:iCs/>
        </w:rPr>
        <w:t xml:space="preserve">Critical Reviews in Food Science and Nutrition</w:t>
      </w:r>
      <w:r>
        <w:rPr>
          <w:rFonts w:ascii="Times New Roman" w:hAnsi="Times New Roman"/>
          <w:sz w:val="20"/>
        </w:rPr>
        <w:t xml:space="preserve"> </w:t>
      </w:r>
      <w:r>
        <w:rPr>
          <w:rFonts w:ascii="Times New Roman" w:hAnsi="Times New Roman"/>
          <w:sz w:val="20"/>
        </w:rPr>
        <w:t xml:space="preserve">52 (11):</w:t>
      </w:r>
      <w:r>
        <w:rPr>
          <w:rFonts w:ascii="Times New Roman" w:hAnsi="Times New Roman"/>
          <w:sz w:val="20"/>
        </w:rPr>
        <w:t xml:space="preserve"> </w:t>
      </w:r>
      <w:r>
        <w:rPr>
          <w:rFonts w:ascii="Times New Roman" w:hAnsi="Times New Roman"/>
          <w:sz w:val="20"/>
        </w:rPr>
        <w:t xml:space="preserve">999–1023.</w:t>
      </w:r>
      <w:r>
        <w:rPr>
          <w:rFonts w:ascii="Times New Roman" w:hAnsi="Times New Roman"/>
          <w:sz w:val="20"/>
        </w:rPr>
        <w:t xml:space="preserve"> </w:t>
      </w:r>
      <w:hyperlink r:id="rId46">
        <w:r>
          <w:rPr>
            <w:rStyle w:val="Hyperlink"/>
          </w:rPr>
          <w:t xml:space="preserve">https://doi.org/10.1080/10408398.2010.543495</w:t>
        </w:r>
      </w:hyperlink>
      <w:r>
        <w:rPr>
          <w:rFonts w:ascii="Times New Roman" w:hAnsi="Times New Roman"/>
          <w:sz w:val="20"/>
        </w:rPr>
        <w:t xml:space="preserve">.</w:t>
      </w:r>
    </w:p>
    <w:p>
      <w:pPr>
        <w:pStyle w:val="BodyText"/>
        <w:jc w:val="both"/>
      </w:pPr>
      <w:r>
        <w:rPr>
          <w:rFonts w:ascii="Times New Roman" w:hAnsi="Times New Roman"/>
          <w:sz w:val="20"/>
        </w:rPr>
        <w:t xml:space="preserve">Ferber, Jacques. 1999.</w:t>
      </w:r>
      <w:r>
        <w:rPr>
          <w:rFonts w:ascii="Times New Roman" w:hAnsi="Times New Roman"/>
          <w:sz w:val="20"/>
        </w:rPr>
        <w:t xml:space="preserve"> </w:t>
      </w:r>
      <w:r>
        <w:rPr>
          <w:i/>
          <w:iCs/>
        </w:rPr>
        <w:t xml:space="preserve">Multi-Agent Systems: An Introduction to</w:t>
      </w:r>
      <w:r>
        <w:rPr>
          <w:i/>
          <w:iCs/>
        </w:rPr>
        <w:t xml:space="preserve"> </w:t>
      </w:r>
      <w:r>
        <w:rPr>
          <w:i/>
          <w:iCs/>
        </w:rPr>
        <w:t xml:space="preserve">Distributed Artificial Intelligence</w:t>
      </w:r>
      <w:r>
        <w:rPr>
          <w:rFonts w:ascii="Times New Roman" w:hAnsi="Times New Roman"/>
          <w:sz w:val="20"/>
        </w:rPr>
        <w:t xml:space="preserve">. Addison-Wesley.</w:t>
      </w:r>
    </w:p>
    <w:p>
      <w:pPr>
        <w:pStyle w:val="BodyText"/>
        <w:jc w:val="both"/>
      </w:pPr>
      <w:r>
        <w:rPr>
          <w:rFonts w:ascii="Times New Roman" w:hAnsi="Times New Roman"/>
          <w:sz w:val="20"/>
        </w:rPr>
        <w:t xml:space="preserve">Ferentinos, Konstantinos P. 2018.</w:t>
      </w:r>
      <w:r>
        <w:rPr>
          <w:rFonts w:ascii="Times New Roman" w:hAnsi="Times New Roman"/>
          <w:sz w:val="20"/>
        </w:rPr>
        <w:t xml:space="preserve"> </w:t>
      </w:r>
      <w:r>
        <w:rPr>
          <w:rFonts w:ascii="Times New Roman" w:hAnsi="Times New Roman"/>
          <w:sz w:val="20"/>
        </w:rPr>
        <w:t xml:space="preserve">“Deep Learning Models for Plant</w:t>
      </w:r>
      <w:r>
        <w:rPr>
          <w:rFonts w:ascii="Times New Roman" w:hAnsi="Times New Roman"/>
          <w:sz w:val="20"/>
        </w:rPr>
        <w:t xml:space="preserve"> </w:t>
      </w:r>
      <w:r>
        <w:rPr>
          <w:rFonts w:ascii="Times New Roman" w:hAnsi="Times New Roman"/>
          <w:sz w:val="20"/>
        </w:rPr>
        <w:t xml:space="preserve">Disease Detection and Diagnosis.”</w:t>
      </w:r>
      <w:r>
        <w:rPr>
          <w:rFonts w:ascii="Times New Roman" w:hAnsi="Times New Roman"/>
          <w:sz w:val="20"/>
        </w:rPr>
        <w:t xml:space="preserve"> </w:t>
      </w:r>
      <w:r>
        <w:rPr>
          <w:i/>
          <w:iCs/>
        </w:rPr>
        <w:t xml:space="preserve">Computers and Electronics in</w:t>
      </w:r>
      <w:r>
        <w:rPr>
          <w:i/>
          <w:iCs/>
        </w:rPr>
        <w:t xml:space="preserve"> </w:t>
      </w:r>
      <w:r>
        <w:rPr>
          <w:i/>
          <w:iCs/>
        </w:rPr>
        <w:t xml:space="preserve">Agriculture</w:t>
      </w:r>
      <w:r>
        <w:rPr>
          <w:rFonts w:ascii="Times New Roman" w:hAnsi="Times New Roman"/>
          <w:sz w:val="20"/>
        </w:rPr>
        <w:t xml:space="preserve"> </w:t>
      </w:r>
      <w:r>
        <w:rPr>
          <w:rFonts w:ascii="Times New Roman" w:hAnsi="Times New Roman"/>
          <w:sz w:val="20"/>
        </w:rPr>
        <w:t xml:space="preserve">145: 311–18.</w:t>
      </w:r>
      <w:r>
        <w:rPr>
          <w:rFonts w:ascii="Times New Roman" w:hAnsi="Times New Roman"/>
          <w:sz w:val="20"/>
        </w:rPr>
        <w:t xml:space="preserve"> </w:t>
      </w:r>
      <w:hyperlink r:id="rId47">
        <w:r>
          <w:rPr>
            <w:rStyle w:val="Hyperlink"/>
          </w:rPr>
          <w:t xml:space="preserve">https://doi.org/10.1016/j.compag.2018.01.009</w:t>
        </w:r>
      </w:hyperlink>
      <w:r>
        <w:rPr>
          <w:rFonts w:ascii="Times New Roman" w:hAnsi="Times New Roman"/>
          <w:sz w:val="20"/>
        </w:rPr>
        <w:t xml:space="preserve">.</w:t>
      </w:r>
    </w:p>
    <w:p>
      <w:pPr>
        <w:pStyle w:val="BodyText"/>
        <w:jc w:val="both"/>
      </w:pPr>
      <w:r>
        <w:rPr>
          <w:rFonts w:ascii="Times New Roman" w:hAnsi="Times New Roman"/>
          <w:sz w:val="20"/>
        </w:rPr>
        <w:t xml:space="preserve">Gil, María Isabel, Francisco A. Tomás-Barberán, Betty Hess-Pierce,</w:t>
      </w:r>
      <w:r>
        <w:rPr>
          <w:rFonts w:ascii="Times New Roman" w:hAnsi="Times New Roman"/>
          <w:sz w:val="20"/>
        </w:rPr>
        <w:t xml:space="preserve"> </w:t>
      </w:r>
      <w:r>
        <w:rPr>
          <w:rFonts w:ascii="Times New Roman" w:hAnsi="Times New Roman"/>
          <w:sz w:val="20"/>
        </w:rPr>
        <w:t xml:space="preserve">Deirdre M. Holcroft, and Adel A. Kader. 2000.</w:t>
      </w:r>
      <w:r>
        <w:rPr>
          <w:rFonts w:ascii="Times New Roman" w:hAnsi="Times New Roman"/>
          <w:sz w:val="20"/>
        </w:rPr>
        <w:t xml:space="preserve"> </w:t>
      </w:r>
      <w:r>
        <w:rPr>
          <w:rFonts w:ascii="Times New Roman" w:hAnsi="Times New Roman"/>
          <w:sz w:val="20"/>
        </w:rPr>
        <w:t xml:space="preserve">“Antioxidant Activity of</w:t>
      </w:r>
      <w:r>
        <w:rPr>
          <w:rFonts w:ascii="Times New Roman" w:hAnsi="Times New Roman"/>
          <w:sz w:val="20"/>
        </w:rPr>
        <w:t xml:space="preserve"> </w:t>
      </w:r>
      <w:r>
        <w:rPr>
          <w:rFonts w:ascii="Times New Roman" w:hAnsi="Times New Roman"/>
          <w:sz w:val="20"/>
        </w:rPr>
        <w:t xml:space="preserve">Pomegranate Juice and Its Relationship with Phenolic Composition and</w:t>
      </w:r>
      <w:r>
        <w:rPr>
          <w:rFonts w:ascii="Times New Roman" w:hAnsi="Times New Roman"/>
          <w:sz w:val="20"/>
        </w:rPr>
        <w:t xml:space="preserve"> </w:t>
      </w:r>
      <w:r>
        <w:rPr>
          <w:rFonts w:ascii="Times New Roman" w:hAnsi="Times New Roman"/>
          <w:sz w:val="20"/>
        </w:rPr>
        <w:t xml:space="preserve">Processing.”</w:t>
      </w:r>
      <w:r>
        <w:rPr>
          <w:rFonts w:ascii="Times New Roman" w:hAnsi="Times New Roman"/>
          <w:sz w:val="20"/>
        </w:rPr>
        <w:t xml:space="preserve"> </w:t>
      </w:r>
      <w:r>
        <w:rPr>
          <w:i/>
          <w:iCs/>
        </w:rPr>
        <w:t xml:space="preserve">Journal of Agricultural and Food Chemistry</w:t>
      </w:r>
      <w:r>
        <w:rPr>
          <w:rFonts w:ascii="Times New Roman" w:hAnsi="Times New Roman"/>
          <w:sz w:val="20"/>
        </w:rPr>
        <w:t xml:space="preserve"> </w:t>
      </w:r>
      <w:r>
        <w:rPr>
          <w:rFonts w:ascii="Times New Roman" w:hAnsi="Times New Roman"/>
          <w:sz w:val="20"/>
        </w:rPr>
        <w:t xml:space="preserve">48 (10):</w:t>
      </w:r>
      <w:r>
        <w:rPr>
          <w:rFonts w:ascii="Times New Roman" w:hAnsi="Times New Roman"/>
          <w:sz w:val="20"/>
        </w:rPr>
        <w:t xml:space="preserve"> </w:t>
      </w:r>
      <w:r>
        <w:rPr>
          <w:rFonts w:ascii="Times New Roman" w:hAnsi="Times New Roman"/>
          <w:sz w:val="20"/>
        </w:rPr>
        <w:t xml:space="preserve">4581–89.</w:t>
      </w:r>
      <w:r>
        <w:rPr>
          <w:rFonts w:ascii="Times New Roman" w:hAnsi="Times New Roman"/>
          <w:sz w:val="20"/>
        </w:rPr>
        <w:t xml:space="preserve"> </w:t>
      </w:r>
      <w:hyperlink r:id="rId48">
        <w:r>
          <w:rPr>
            <w:rStyle w:val="Hyperlink"/>
          </w:rPr>
          <w:t xml:space="preserve">https://doi.org/10.1021/jf000404a</w:t>
        </w:r>
      </w:hyperlink>
      <w:r>
        <w:rPr>
          <w:rFonts w:ascii="Times New Roman" w:hAnsi="Times New Roman"/>
          <w:sz w:val="20"/>
        </w:rPr>
        <w:t xml:space="preserve">.</w:t>
      </w:r>
    </w:p>
    <w:p>
      <w:pPr>
        <w:pStyle w:val="BodyText"/>
        <w:jc w:val="both"/>
      </w:pPr>
      <w:r>
        <w:rPr>
          <w:rFonts w:ascii="Times New Roman" w:hAnsi="Times New Roman"/>
          <w:sz w:val="20"/>
        </w:rPr>
        <w:t xml:space="preserve">He, Kaiming, Xiangyu Zhang, Shaoqing Ren, and Jian Sun. 2016.</w:t>
      </w:r>
      <w:r>
        <w:rPr>
          <w:rFonts w:ascii="Times New Roman" w:hAnsi="Times New Roman"/>
          <w:sz w:val="20"/>
        </w:rPr>
        <w:t xml:space="preserve"> </w:t>
      </w:r>
      <w:r>
        <w:rPr>
          <w:rFonts w:ascii="Times New Roman" w:hAnsi="Times New Roman"/>
          <w:sz w:val="20"/>
        </w:rPr>
        <w:t xml:space="preserve">“Deep</w:t>
      </w:r>
      <w:r>
        <w:rPr>
          <w:rFonts w:ascii="Times New Roman" w:hAnsi="Times New Roman"/>
          <w:sz w:val="20"/>
        </w:rPr>
        <w:t xml:space="preserve"> </w:t>
      </w:r>
      <w:r>
        <w:rPr>
          <w:rFonts w:ascii="Times New Roman" w:hAnsi="Times New Roman"/>
          <w:sz w:val="20"/>
        </w:rPr>
        <w:t xml:space="preserve">Residual Learning for Image Recognition.”</w:t>
      </w:r>
      <w:r>
        <w:rPr>
          <w:rFonts w:ascii="Times New Roman" w:hAnsi="Times New Roman"/>
          <w:sz w:val="20"/>
        </w:rPr>
        <w:t xml:space="preserve"> </w:t>
      </w:r>
      <w:r>
        <w:rPr>
          <w:i/>
          <w:iCs/>
        </w:rPr>
        <w:t xml:space="preserve">Proceedings of the IEEE</w:t>
      </w:r>
      <w:r>
        <w:rPr>
          <w:i/>
          <w:iCs/>
        </w:rPr>
        <w:t xml:space="preserve"> </w:t>
      </w:r>
      <w:r>
        <w:rPr>
          <w:i/>
          <w:iCs/>
        </w:rPr>
        <w:t xml:space="preserve">Conference on Computer Vision and Pattern Recognition (CVPR)</w:t>
      </w:r>
      <w:r>
        <w:rPr>
          <w:rFonts w:ascii="Times New Roman" w:hAnsi="Times New Roman"/>
          <w:sz w:val="20"/>
        </w:rPr>
        <w:t xml:space="preserve">, 770–78.</w:t>
      </w:r>
      <w:r>
        <w:rPr>
          <w:rFonts w:ascii="Times New Roman" w:hAnsi="Times New Roman"/>
          <w:sz w:val="20"/>
        </w:rPr>
        <w:t xml:space="preserve"> </w:t>
      </w:r>
      <w:hyperlink r:id="rId49">
        <w:r>
          <w:rPr>
            <w:rStyle w:val="Hyperlink"/>
          </w:rPr>
          <w:t xml:space="preserve">https://doi.org/10.1109/CVPR.2016.90</w:t>
        </w:r>
      </w:hyperlink>
      <w:r>
        <w:rPr>
          <w:rFonts w:ascii="Times New Roman" w:hAnsi="Times New Roman"/>
          <w:sz w:val="20"/>
        </w:rPr>
        <w:t xml:space="preserve">.</w:t>
      </w:r>
    </w:p>
    <w:p>
      <w:pPr>
        <w:pStyle w:val="BodyText"/>
        <w:jc w:val="both"/>
      </w:pPr>
      <w:r>
        <w:rPr>
          <w:rFonts w:ascii="Times New Roman" w:hAnsi="Times New Roman"/>
          <w:sz w:val="20"/>
        </w:rPr>
        <w:t xml:space="preserve">Horrocks, Ian, Peter F. Patel-Schneider, Harold Boley, Said Tabet,</w:t>
      </w:r>
      <w:r>
        <w:rPr>
          <w:rFonts w:ascii="Times New Roman" w:hAnsi="Times New Roman"/>
          <w:sz w:val="20"/>
        </w:rPr>
        <w:t xml:space="preserve"> </w:t>
      </w:r>
      <w:r>
        <w:rPr>
          <w:rFonts w:ascii="Times New Roman" w:hAnsi="Times New Roman"/>
          <w:sz w:val="20"/>
        </w:rPr>
        <w:t xml:space="preserve">Benjamin Grosof, and Mike Dean. 2004.</w:t>
      </w:r>
      <w:r>
        <w:rPr>
          <w:rFonts w:ascii="Times New Roman" w:hAnsi="Times New Roman"/>
          <w:sz w:val="20"/>
        </w:rPr>
        <w:t xml:space="preserve"> </w:t>
      </w:r>
      <w:r>
        <w:rPr>
          <w:i/>
          <w:iCs/>
        </w:rPr>
        <w:t xml:space="preserve">SWRL: A Semantic Web Rule</w:t>
      </w:r>
      <w:r>
        <w:rPr>
          <w:i/>
          <w:iCs/>
        </w:rPr>
        <w:t xml:space="preserve"> </w:t>
      </w:r>
      <w:r>
        <w:rPr>
          <w:i/>
          <w:iCs/>
        </w:rPr>
        <w:t xml:space="preserve">Language Combining OWL and RuleML</w:t>
      </w:r>
      <w:r>
        <w:rPr>
          <w:rFonts w:ascii="Times New Roman" w:hAnsi="Times New Roman"/>
          <w:sz w:val="20"/>
        </w:rPr>
        <w:t xml:space="preserve">. W3C Member Submission.</w:t>
      </w:r>
      <w:r>
        <w:rPr>
          <w:rFonts w:ascii="Times New Roman" w:hAnsi="Times New Roman"/>
          <w:sz w:val="20"/>
        </w:rPr>
        <w:t xml:space="preserve"> </w:t>
      </w:r>
      <w:hyperlink r:id="rId50">
        <w:r>
          <w:rPr>
            <w:rStyle w:val="Hyperlink"/>
          </w:rPr>
          <w:t xml:space="preserve">https://www.w3.org/Submission/SWRL/</w:t>
        </w:r>
      </w:hyperlink>
      <w:r>
        <w:rPr>
          <w:rFonts w:ascii="Times New Roman" w:hAnsi="Times New Roman"/>
          <w:sz w:val="20"/>
        </w:rPr>
        <w:t xml:space="preserve">.</w:t>
      </w:r>
    </w:p>
    <w:p>
      <w:pPr>
        <w:pStyle w:val="BodyText"/>
        <w:jc w:val="both"/>
      </w:pPr>
      <w:r>
        <w:rPr>
          <w:rFonts w:ascii="Times New Roman" w:hAnsi="Times New Roman"/>
          <w:sz w:val="20"/>
        </w:rPr>
        <w:t xml:space="preserve">Howard, Andrew G., Menglong Zhu, Bo Chen, et al. 2017.</w:t>
      </w:r>
      <w:r>
        <w:rPr>
          <w:rFonts w:ascii="Times New Roman" w:hAnsi="Times New Roman"/>
          <w:sz w:val="20"/>
        </w:rPr>
        <w:t xml:space="preserve"> </w:t>
      </w:r>
      <w:r>
        <w:rPr>
          <w:rFonts w:ascii="Times New Roman" w:hAnsi="Times New Roman"/>
          <w:sz w:val="20"/>
        </w:rPr>
        <w:t xml:space="preserve">“MobileNets:</w:t>
      </w:r>
      <w:r>
        <w:rPr>
          <w:rFonts w:ascii="Times New Roman" w:hAnsi="Times New Roman"/>
          <w:sz w:val="20"/>
        </w:rPr>
        <w:t xml:space="preserve"> </w:t>
      </w:r>
      <w:r>
        <w:rPr>
          <w:rFonts w:ascii="Times New Roman" w:hAnsi="Times New Roman"/>
          <w:sz w:val="20"/>
        </w:rPr>
        <w:t xml:space="preserve">Efficient Convolutional Neural Networks for Mobile Vision Applications.”</w:t>
      </w:r>
      <w:r>
        <w:rPr>
          <w:rFonts w:ascii="Times New Roman" w:hAnsi="Times New Roman"/>
          <w:sz w:val="20"/>
        </w:rPr>
        <w:t xml:space="preserve"> </w:t>
      </w:r>
      <w:r>
        <w:rPr>
          <w:i/>
          <w:iCs/>
        </w:rPr>
        <w:t xml:space="preserve">arXiv Preprint arXiv:1704.04861</w:t>
      </w:r>
      <w:r>
        <w:rPr>
          <w:rFonts w:ascii="Times New Roman" w:hAnsi="Times New Roman"/>
          <w:sz w:val="20"/>
        </w:rPr>
        <w:t xml:space="preserve">.</w:t>
      </w:r>
      <w:r>
        <w:rPr>
          <w:rFonts w:ascii="Times New Roman" w:hAnsi="Times New Roman"/>
          <w:sz w:val="20"/>
        </w:rPr>
        <w:t xml:space="preserve"> </w:t>
      </w:r>
      <w:hyperlink r:id="rId51">
        <w:r>
          <w:rPr>
            <w:rStyle w:val="Hyperlink"/>
          </w:rPr>
          <w:t xml:space="preserve">https://arxiv.org/abs/1704.04861</w:t>
        </w:r>
      </w:hyperlink>
      <w:r>
        <w:rPr>
          <w:rFonts w:ascii="Times New Roman" w:hAnsi="Times New Roman"/>
          <w:sz w:val="20"/>
        </w:rPr>
        <w:t xml:space="preserve">.</w:t>
      </w:r>
    </w:p>
    <w:p>
      <w:pPr>
        <w:pStyle w:val="BodyText"/>
        <w:jc w:val="both"/>
      </w:pPr>
      <w:r>
        <w:rPr>
          <w:rFonts w:ascii="Times New Roman" w:hAnsi="Times New Roman"/>
          <w:sz w:val="20"/>
        </w:rPr>
        <w:t xml:space="preserve">Indian Council of Agricultural Research (ICAR). 2023.</w:t>
      </w:r>
      <w:r>
        <w:rPr>
          <w:rFonts w:ascii="Times New Roman" w:hAnsi="Times New Roman"/>
          <w:sz w:val="20"/>
        </w:rPr>
        <w:t xml:space="preserve"> </w:t>
      </w:r>
      <w:r>
        <w:rPr>
          <w:i/>
          <w:iCs/>
        </w:rPr>
        <w:t xml:space="preserve">Pomegranate:</w:t>
      </w:r>
      <w:r>
        <w:rPr>
          <w:i/>
          <w:iCs/>
        </w:rPr>
        <w:t xml:space="preserve"> </w:t>
      </w:r>
      <w:r>
        <w:rPr>
          <w:i/>
          <w:iCs/>
        </w:rPr>
        <w:t xml:space="preserve">Package of Practices for Production and Protection</w:t>
      </w:r>
      <w:r>
        <w:rPr>
          <w:rFonts w:ascii="Times New Roman" w:hAnsi="Times New Roman"/>
          <w:sz w:val="20"/>
        </w:rPr>
        <w:t xml:space="preserve">. National Research</w:t>
      </w:r>
      <w:r>
        <w:rPr>
          <w:rFonts w:ascii="Times New Roman" w:hAnsi="Times New Roman"/>
          <w:sz w:val="20"/>
        </w:rPr>
        <w:t xml:space="preserve"> </w:t>
      </w:r>
      <w:r>
        <w:rPr>
          <w:rFonts w:ascii="Times New Roman" w:hAnsi="Times New Roman"/>
          <w:sz w:val="20"/>
        </w:rPr>
        <w:t xml:space="preserve">Centre for Pomegranate, Solapur.</w:t>
      </w:r>
    </w:p>
    <w:p>
      <w:pPr>
        <w:pStyle w:val="BodyText"/>
        <w:jc w:val="both"/>
      </w:pPr>
      <w:r>
        <w:rPr>
          <w:rFonts w:ascii="Times New Roman" w:hAnsi="Times New Roman"/>
          <w:sz w:val="20"/>
        </w:rPr>
        <w:t xml:space="preserve">Kamilaris, Andreas, and Francesc X. Prenafeta-Boldú. 2018.</w:t>
      </w:r>
      <w:r>
        <w:rPr>
          <w:rFonts w:ascii="Times New Roman" w:hAnsi="Times New Roman"/>
          <w:sz w:val="20"/>
        </w:rPr>
        <w:t xml:space="preserve"> </w:t>
      </w:r>
      <w:r>
        <w:rPr>
          <w:rFonts w:ascii="Times New Roman" w:hAnsi="Times New Roman"/>
          <w:sz w:val="20"/>
        </w:rPr>
        <w:t xml:space="preserve">“Deep</w:t>
      </w:r>
      <w:r>
        <w:rPr>
          <w:rFonts w:ascii="Times New Roman" w:hAnsi="Times New Roman"/>
          <w:sz w:val="20"/>
        </w:rPr>
        <w:t xml:space="preserve"> </w:t>
      </w:r>
      <w:r>
        <w:rPr>
          <w:rFonts w:ascii="Times New Roman" w:hAnsi="Times New Roman"/>
          <w:sz w:val="20"/>
        </w:rPr>
        <w:t xml:space="preserve">Learning in Agriculture: A Survey.”</w:t>
      </w:r>
      <w:r>
        <w:rPr>
          <w:rFonts w:ascii="Times New Roman" w:hAnsi="Times New Roman"/>
          <w:sz w:val="20"/>
        </w:rPr>
        <w:t xml:space="preserve"> </w:t>
      </w:r>
      <w:r>
        <w:rPr>
          <w:i/>
          <w:iCs/>
        </w:rPr>
        <w:t xml:space="preserve">Computers and Electronics in</w:t>
      </w:r>
      <w:r>
        <w:rPr>
          <w:i/>
          <w:iCs/>
        </w:rPr>
        <w:t xml:space="preserve"> </w:t>
      </w:r>
      <w:r>
        <w:rPr>
          <w:i/>
          <w:iCs/>
        </w:rPr>
        <w:t xml:space="preserve">Agriculture</w:t>
      </w:r>
      <w:r>
        <w:rPr>
          <w:rFonts w:ascii="Times New Roman" w:hAnsi="Times New Roman"/>
          <w:sz w:val="20"/>
        </w:rPr>
        <w:t xml:space="preserve"> </w:t>
      </w:r>
      <w:r>
        <w:rPr>
          <w:rFonts w:ascii="Times New Roman" w:hAnsi="Times New Roman"/>
          <w:sz w:val="20"/>
        </w:rPr>
        <w:t xml:space="preserve">147: 70–90.</w:t>
      </w:r>
      <w:r>
        <w:rPr>
          <w:rFonts w:ascii="Times New Roman" w:hAnsi="Times New Roman"/>
          <w:sz w:val="20"/>
        </w:rPr>
        <w:t xml:space="preserve"> </w:t>
      </w:r>
      <w:hyperlink r:id="rId52">
        <w:r>
          <w:rPr>
            <w:rStyle w:val="Hyperlink"/>
          </w:rPr>
          <w:t xml:space="preserve">https://doi.org/10.1016/j.compag.2018.02.016</w:t>
        </w:r>
      </w:hyperlink>
      <w:r>
        <w:rPr>
          <w:rFonts w:ascii="Times New Roman" w:hAnsi="Times New Roman"/>
          <w:sz w:val="20"/>
        </w:rPr>
        <w:t xml:space="preserve">.</w:t>
      </w:r>
    </w:p>
    <w:p>
      <w:pPr>
        <w:pStyle w:val="BodyText"/>
        <w:jc w:val="both"/>
      </w:pPr>
      <w:r>
        <w:rPr>
          <w:rFonts w:ascii="Times New Roman" w:hAnsi="Times New Roman"/>
          <w:sz w:val="20"/>
        </w:rPr>
        <w:t xml:space="preserve">Kingma, Diederik P., and Jimmy Ba. 2015.</w:t>
      </w:r>
      <w:r>
        <w:rPr>
          <w:rFonts w:ascii="Times New Roman" w:hAnsi="Times New Roman"/>
          <w:sz w:val="20"/>
        </w:rPr>
        <w:t xml:space="preserve"> </w:t>
      </w:r>
      <w:r>
        <w:rPr>
          <w:rFonts w:ascii="Times New Roman" w:hAnsi="Times New Roman"/>
          <w:sz w:val="20"/>
        </w:rPr>
        <w:t xml:space="preserve">“Adam: A Method for Stochastic</w:t>
      </w:r>
      <w:r>
        <w:rPr>
          <w:rFonts w:ascii="Times New Roman" w:hAnsi="Times New Roman"/>
          <w:sz w:val="20"/>
        </w:rPr>
        <w:t xml:space="preserve"> </w:t>
      </w:r>
      <w:r>
        <w:rPr>
          <w:rFonts w:ascii="Times New Roman" w:hAnsi="Times New Roman"/>
          <w:sz w:val="20"/>
        </w:rPr>
        <w:t xml:space="preserve">Optimization.”</w:t>
      </w:r>
      <w:r>
        <w:rPr>
          <w:rFonts w:ascii="Times New Roman" w:hAnsi="Times New Roman"/>
          <w:sz w:val="20"/>
        </w:rPr>
        <w:t xml:space="preserve"> </w:t>
      </w:r>
      <w:r>
        <w:rPr>
          <w:i/>
          <w:iCs/>
        </w:rPr>
        <w:t xml:space="preserve">arXiv Preprint arXiv:1412.6980</w:t>
      </w:r>
      <w:r>
        <w:rPr>
          <w:rFonts w:ascii="Times New Roman" w:hAnsi="Times New Roman"/>
          <w:sz w:val="20"/>
        </w:rPr>
        <w:t xml:space="preserve">.</w:t>
      </w:r>
      <w:r>
        <w:rPr>
          <w:rFonts w:ascii="Times New Roman" w:hAnsi="Times New Roman"/>
          <w:sz w:val="20"/>
        </w:rPr>
        <w:t xml:space="preserve"> </w:t>
      </w:r>
      <w:hyperlink r:id="rId53">
        <w:r>
          <w:rPr>
            <w:rStyle w:val="Hyperlink"/>
          </w:rPr>
          <w:t xml:space="preserve">https://arxiv.org/abs/1412.6980</w:t>
        </w:r>
      </w:hyperlink>
      <w:r>
        <w:rPr>
          <w:rFonts w:ascii="Times New Roman" w:hAnsi="Times New Roman"/>
          <w:sz w:val="20"/>
        </w:rPr>
        <w:t xml:space="preserve">.</w:t>
      </w:r>
    </w:p>
    <w:p>
      <w:pPr>
        <w:pStyle w:val="BodyText"/>
        <w:jc w:val="both"/>
      </w:pPr>
      <w:r>
        <w:rPr>
          <w:rFonts w:ascii="Times New Roman" w:hAnsi="Times New Roman"/>
          <w:sz w:val="20"/>
        </w:rPr>
        <w:t xml:space="preserve">LangChain Inc. 2024.</w:t>
      </w:r>
      <w:r>
        <w:rPr>
          <w:rFonts w:ascii="Times New Roman" w:hAnsi="Times New Roman"/>
          <w:sz w:val="20"/>
        </w:rPr>
        <w:t xml:space="preserve"> </w:t>
      </w:r>
      <w:r>
        <w:rPr>
          <w:i/>
          <w:iCs/>
        </w:rPr>
        <w:t xml:space="preserve">LangGraph: Building Stateful, Multi-Actor</w:t>
      </w:r>
      <w:r>
        <w:rPr>
          <w:i/>
          <w:iCs/>
        </w:rPr>
        <w:t xml:space="preserve"> </w:t>
      </w:r>
      <w:r>
        <w:rPr>
          <w:i/>
          <w:iCs/>
        </w:rPr>
        <w:t xml:space="preserve">Applications with LLMs</w:t>
      </w:r>
      <w:r>
        <w:rPr>
          <w:rFonts w:ascii="Times New Roman" w:hAnsi="Times New Roman"/>
          <w:sz w:val="20"/>
        </w:rPr>
        <w:t xml:space="preserve">. Online Documentation,</w:t>
      </w:r>
      <w:r>
        <w:rPr>
          <w:rFonts w:ascii="Times New Roman" w:hAnsi="Times New Roman"/>
          <w:sz w:val="20"/>
        </w:rPr>
        <w:t xml:space="preserve"> </w:t>
      </w:r>
      <w:hyperlink r:id="rId54">
        <w:r>
          <w:rPr>
            <w:rStyle w:val="Hyperlink"/>
          </w:rPr>
          <w:t xml:space="preserve">https://langchain-ai.github.io/langgraph/</w:t>
        </w:r>
      </w:hyperlink>
      <w:r>
        <w:rPr>
          <w:rFonts w:ascii="Times New Roman" w:hAnsi="Times New Roman"/>
          <w:sz w:val="20"/>
        </w:rPr>
        <w:t xml:space="preserve">.</w:t>
      </w:r>
    </w:p>
    <w:p>
      <w:pPr>
        <w:pStyle w:val="BodyText"/>
        <w:jc w:val="both"/>
      </w:pPr>
      <w:r>
        <w:rPr>
          <w:rFonts w:ascii="Times New Roman" w:hAnsi="Times New Roman"/>
          <w:sz w:val="20"/>
        </w:rPr>
        <w:t xml:space="preserve">Larrañaga, Pedro, and Serafín Moral. 2006.</w:t>
      </w:r>
      <w:r>
        <w:rPr>
          <w:rFonts w:ascii="Times New Roman" w:hAnsi="Times New Roman"/>
          <w:sz w:val="20"/>
        </w:rPr>
        <w:t xml:space="preserve"> </w:t>
      </w:r>
      <w:r>
        <w:rPr>
          <w:i/>
          <w:iCs/>
        </w:rPr>
        <w:t xml:space="preserve">Probabilistic Graphical</w:t>
      </w:r>
      <w:r>
        <w:rPr>
          <w:i/>
          <w:iCs/>
        </w:rPr>
        <w:t xml:space="preserve"> </w:t>
      </w:r>
      <w:r>
        <w:rPr>
          <w:i/>
          <w:iCs/>
        </w:rPr>
        <w:t xml:space="preserve">Models in Artificial Intelligence</w:t>
      </w:r>
      <w:r>
        <w:rPr>
          <w:rFonts w:ascii="Times New Roman" w:hAnsi="Times New Roman"/>
          <w:sz w:val="20"/>
        </w:rPr>
        <w:t xml:space="preserve">. Elsevier.</w:t>
      </w:r>
    </w:p>
    <w:p>
      <w:pPr>
        <w:pStyle w:val="BodyText"/>
        <w:jc w:val="both"/>
      </w:pPr>
      <w:r>
        <w:rPr>
          <w:rFonts w:ascii="Times New Roman" w:hAnsi="Times New Roman"/>
          <w:sz w:val="20"/>
        </w:rPr>
        <w:t xml:space="preserve">Microsoft Corporation. 2024.</w:t>
      </w:r>
      <w:r>
        <w:rPr>
          <w:rFonts w:ascii="Times New Roman" w:hAnsi="Times New Roman"/>
          <w:sz w:val="20"/>
        </w:rPr>
        <w:t xml:space="preserve"> </w:t>
      </w:r>
      <w:r>
        <w:rPr>
          <w:i/>
          <w:iCs/>
        </w:rPr>
        <w:t xml:space="preserve">Playwright: Reliable End-to-End Testing</w:t>
      </w:r>
      <w:r>
        <w:rPr>
          <w:i/>
          <w:iCs/>
        </w:rPr>
        <w:t xml:space="preserve"> </w:t>
      </w:r>
      <w:r>
        <w:rPr>
          <w:i/>
          <w:iCs/>
        </w:rPr>
        <w:t xml:space="preserve">for Modern Web Apps</w:t>
      </w:r>
      <w:r>
        <w:rPr>
          <w:rFonts w:ascii="Times New Roman" w:hAnsi="Times New Roman"/>
          <w:sz w:val="20"/>
        </w:rPr>
        <w:t xml:space="preserve">. Online Documentation,</w:t>
      </w:r>
      <w:r>
        <w:rPr>
          <w:rFonts w:ascii="Times New Roman" w:hAnsi="Times New Roman"/>
          <w:sz w:val="20"/>
        </w:rPr>
        <w:t xml:space="preserve"> </w:t>
      </w:r>
      <w:hyperlink r:id="rId55">
        <w:r>
          <w:rPr>
            <w:rStyle w:val="Hyperlink"/>
          </w:rPr>
          <w:t xml:space="preserve">https://playwright.dev</w:t>
        </w:r>
      </w:hyperlink>
      <w:r>
        <w:rPr>
          <w:rFonts w:ascii="Times New Roman" w:hAnsi="Times New Roman"/>
          <w:sz w:val="20"/>
        </w:rPr>
        <w:t xml:space="preserve">.</w:t>
      </w:r>
    </w:p>
    <w:p>
      <w:pPr>
        <w:pStyle w:val="BodyText"/>
        <w:jc w:val="both"/>
      </w:pPr>
      <w:r>
        <w:rPr>
          <w:rFonts w:ascii="Times New Roman" w:hAnsi="Times New Roman"/>
          <w:sz w:val="20"/>
        </w:rPr>
        <w:t xml:space="preserve">Mohanty, Sharada P., David P. Hughes, and Marcel Salathé. 2016.</w:t>
      </w:r>
      <w:r>
        <w:rPr>
          <w:rFonts w:ascii="Times New Roman" w:hAnsi="Times New Roman"/>
          <w:sz w:val="20"/>
        </w:rPr>
        <w:t xml:space="preserve"> </w:t>
      </w:r>
      <w:r>
        <w:rPr>
          <w:rFonts w:ascii="Times New Roman" w:hAnsi="Times New Roman"/>
          <w:sz w:val="20"/>
        </w:rPr>
        <w:t xml:space="preserve">“Using</w:t>
      </w:r>
      <w:r>
        <w:rPr>
          <w:rFonts w:ascii="Times New Roman" w:hAnsi="Times New Roman"/>
          <w:sz w:val="20"/>
        </w:rPr>
        <w:t xml:space="preserve"> </w:t>
      </w:r>
      <w:r>
        <w:rPr>
          <w:rFonts w:ascii="Times New Roman" w:hAnsi="Times New Roman"/>
          <w:sz w:val="20"/>
        </w:rPr>
        <w:t xml:space="preserve">Deep Learning for Image-Based Plant Disease Detection.”</w:t>
      </w:r>
      <w:r>
        <w:rPr>
          <w:rFonts w:ascii="Times New Roman" w:hAnsi="Times New Roman"/>
          <w:sz w:val="20"/>
        </w:rPr>
        <w:t xml:space="preserve"> </w:t>
      </w:r>
      <w:r>
        <w:rPr>
          <w:i/>
          <w:iCs/>
        </w:rPr>
        <w:t xml:space="preserve">Frontiers in</w:t>
      </w:r>
      <w:r>
        <w:rPr>
          <w:i/>
          <w:iCs/>
        </w:rPr>
        <w:t xml:space="preserve"> </w:t>
      </w:r>
      <w:r>
        <w:rPr>
          <w:i/>
          <w:iCs/>
        </w:rPr>
        <w:t xml:space="preserve">Plant Science</w:t>
      </w:r>
      <w:r>
        <w:rPr>
          <w:rFonts w:ascii="Times New Roman" w:hAnsi="Times New Roman"/>
          <w:sz w:val="20"/>
        </w:rPr>
        <w:t xml:space="preserve"> </w:t>
      </w:r>
      <w:r>
        <w:rPr>
          <w:rFonts w:ascii="Times New Roman" w:hAnsi="Times New Roman"/>
          <w:sz w:val="20"/>
        </w:rPr>
        <w:t xml:space="preserve">7: 1419.</w:t>
      </w:r>
      <w:r>
        <w:rPr>
          <w:rFonts w:ascii="Times New Roman" w:hAnsi="Times New Roman"/>
          <w:sz w:val="20"/>
        </w:rPr>
        <w:t xml:space="preserve"> </w:t>
      </w:r>
      <w:hyperlink r:id="rId56">
        <w:r>
          <w:rPr>
            <w:rStyle w:val="Hyperlink"/>
          </w:rPr>
          <w:t xml:space="preserve">https://doi.org/10.3389/fpls.2016.01419</w:t>
        </w:r>
      </w:hyperlink>
      <w:r>
        <w:rPr>
          <w:rFonts w:ascii="Times New Roman" w:hAnsi="Times New Roman"/>
          <w:sz w:val="20"/>
        </w:rPr>
        <w:t xml:space="preserve">.</w:t>
      </w:r>
    </w:p>
    <w:p>
      <w:pPr>
        <w:pStyle w:val="BodyText"/>
        <w:jc w:val="both"/>
      </w:pPr>
      <w:r>
        <w:rPr>
          <w:rFonts w:ascii="Times New Roman" w:hAnsi="Times New Roman"/>
          <w:sz w:val="20"/>
        </w:rPr>
        <w:t xml:space="preserve">Ong, Evan, Monika Bhatt, and Lalit Kumar. 2006.</w:t>
      </w:r>
      <w:r>
        <w:rPr>
          <w:rFonts w:ascii="Times New Roman" w:hAnsi="Times New Roman"/>
          <w:sz w:val="20"/>
        </w:rPr>
        <w:t xml:space="preserve"> </w:t>
      </w:r>
      <w:r>
        <w:rPr>
          <w:rFonts w:ascii="Times New Roman" w:hAnsi="Times New Roman"/>
          <w:sz w:val="20"/>
        </w:rPr>
        <w:t xml:space="preserve">“Formalisation of</w:t>
      </w:r>
      <w:r>
        <w:rPr>
          <w:rFonts w:ascii="Times New Roman" w:hAnsi="Times New Roman"/>
          <w:sz w:val="20"/>
        </w:rPr>
        <w:t xml:space="preserve"> </w:t>
      </w:r>
      <w:r>
        <w:rPr>
          <w:rFonts w:ascii="Times New Roman" w:hAnsi="Times New Roman"/>
          <w:sz w:val="20"/>
        </w:rPr>
        <w:t xml:space="preserve">Agricultural Knowledge Using Ontological Frameworks.”</w:t>
      </w:r>
      <w:r>
        <w:rPr>
          <w:rFonts w:ascii="Times New Roman" w:hAnsi="Times New Roman"/>
          <w:sz w:val="20"/>
        </w:rPr>
        <w:t xml:space="preserve"> </w:t>
      </w:r>
      <w:r>
        <w:rPr>
          <w:i/>
          <w:iCs/>
        </w:rPr>
        <w:t xml:space="preserve">Journal of</w:t>
      </w:r>
      <w:r>
        <w:rPr>
          <w:i/>
          <w:iCs/>
        </w:rPr>
        <w:t xml:space="preserve"> </w:t>
      </w:r>
      <w:r>
        <w:rPr>
          <w:i/>
          <w:iCs/>
        </w:rPr>
        <w:t xml:space="preserve">Agricultural Informatics</w:t>
      </w:r>
      <w:r>
        <w:rPr>
          <w:rFonts w:ascii="Times New Roman" w:hAnsi="Times New Roman"/>
          <w:sz w:val="20"/>
        </w:rPr>
        <w:t xml:space="preserve">.</w:t>
      </w:r>
    </w:p>
    <w:p>
      <w:pPr>
        <w:pStyle w:val="BodyText"/>
        <w:jc w:val="both"/>
      </w:pPr>
      <w:r>
        <w:rPr>
          <w:rFonts w:ascii="Times New Roman" w:hAnsi="Times New Roman"/>
          <w:sz w:val="20"/>
        </w:rPr>
        <w:t xml:space="preserve">Pakruddin, Md., and collaborators</w:t>
      </w:r>
      <w:r>
        <w:rPr>
          <w:rFonts w:ascii="Times New Roman" w:hAnsi="Times New Roman"/>
          <w:sz w:val="20"/>
        </w:rPr>
        <w:t xml:space="preserve">. 2024.</w:t>
      </w:r>
      <w:r>
        <w:rPr>
          <w:rFonts w:ascii="Times New Roman" w:hAnsi="Times New Roman"/>
          <w:sz w:val="20"/>
        </w:rPr>
        <w:t xml:space="preserve"> </w:t>
      </w:r>
      <w:r>
        <w:rPr>
          <w:i/>
          <w:iCs/>
        </w:rPr>
        <w:t xml:space="preserve">Pomegranate Fruit</w:t>
      </w:r>
      <w:r>
        <w:rPr>
          <w:i/>
          <w:iCs/>
        </w:rPr>
        <w:t xml:space="preserve"> </w:t>
      </w:r>
      <w:r>
        <w:rPr>
          <w:i/>
          <w:iCs/>
        </w:rPr>
        <w:t xml:space="preserve">Disease Image Dataset</w:t>
      </w:r>
      <w:r>
        <w:rPr>
          <w:rFonts w:ascii="Times New Roman" w:hAnsi="Times New Roman"/>
          <w:sz w:val="20"/>
        </w:rPr>
        <w:t xml:space="preserve">.</w:t>
      </w:r>
    </w:p>
    <w:p>
      <w:pPr>
        <w:pStyle w:val="BodyText"/>
        <w:jc w:val="both"/>
      </w:pPr>
      <w:r>
        <w:rPr>
          <w:rFonts w:ascii="Times New Roman" w:hAnsi="Times New Roman"/>
          <w:sz w:val="20"/>
        </w:rPr>
        <w:t xml:space="preserve">Pasquini, Celio. 2003.</w:t>
      </w:r>
      <w:r>
        <w:rPr>
          <w:rFonts w:ascii="Times New Roman" w:hAnsi="Times New Roman"/>
          <w:sz w:val="20"/>
        </w:rPr>
        <w:t xml:space="preserve"> </w:t>
      </w:r>
      <w:r>
        <w:rPr>
          <w:rFonts w:ascii="Times New Roman" w:hAnsi="Times New Roman"/>
          <w:sz w:val="20"/>
        </w:rPr>
        <w:t xml:space="preserve">“Near Infrared Spectroscopy: Fundamentals,</w:t>
      </w:r>
      <w:r>
        <w:rPr>
          <w:rFonts w:ascii="Times New Roman" w:hAnsi="Times New Roman"/>
          <w:sz w:val="20"/>
        </w:rPr>
        <w:t xml:space="preserve"> </w:t>
      </w:r>
      <w:r>
        <w:rPr>
          <w:rFonts w:ascii="Times New Roman" w:hAnsi="Times New Roman"/>
          <w:sz w:val="20"/>
        </w:rPr>
        <w:t xml:space="preserve">Practical Aspects and Analytical Applications.”</w:t>
      </w:r>
      <w:r>
        <w:rPr>
          <w:rFonts w:ascii="Times New Roman" w:hAnsi="Times New Roman"/>
          <w:sz w:val="20"/>
        </w:rPr>
        <w:t xml:space="preserve"> </w:t>
      </w:r>
      <w:r>
        <w:rPr>
          <w:i/>
          <w:iCs/>
        </w:rPr>
        <w:t xml:space="preserve">Journal of the</w:t>
      </w:r>
      <w:r>
        <w:rPr>
          <w:i/>
          <w:iCs/>
        </w:rPr>
        <w:t xml:space="preserve"> </w:t>
      </w:r>
      <w:r>
        <w:rPr>
          <w:i/>
          <w:iCs/>
        </w:rPr>
        <w:t xml:space="preserve">Brazilian Chemical Society</w:t>
      </w:r>
      <w:r>
        <w:rPr>
          <w:rFonts w:ascii="Times New Roman" w:hAnsi="Times New Roman"/>
          <w:sz w:val="20"/>
        </w:rPr>
        <w:t xml:space="preserve"> </w:t>
      </w:r>
      <w:r>
        <w:rPr>
          <w:rFonts w:ascii="Times New Roman" w:hAnsi="Times New Roman"/>
          <w:sz w:val="20"/>
        </w:rPr>
        <w:t xml:space="preserve">14 (2): 198–219.</w:t>
      </w:r>
      <w:r>
        <w:rPr>
          <w:rFonts w:ascii="Times New Roman" w:hAnsi="Times New Roman"/>
          <w:sz w:val="20"/>
        </w:rPr>
        <w:t xml:space="preserve"> </w:t>
      </w:r>
      <w:hyperlink r:id="rId57">
        <w:r>
          <w:rPr>
            <w:rStyle w:val="Hyperlink"/>
          </w:rPr>
          <w:t xml:space="preserve">https://doi.org/10.1590/S0103-50532003000200006</w:t>
        </w:r>
      </w:hyperlink>
      <w:r>
        <w:rPr>
          <w:rFonts w:ascii="Times New Roman" w:hAnsi="Times New Roman"/>
          <w:sz w:val="20"/>
        </w:rPr>
        <w:t xml:space="preserve">.</w:t>
      </w:r>
    </w:p>
    <w:p>
      <w:pPr>
        <w:pStyle w:val="BodyText"/>
        <w:jc w:val="both"/>
      </w:pPr>
      <w:r>
        <w:rPr>
          <w:rFonts w:ascii="Times New Roman" w:hAnsi="Times New Roman"/>
          <w:sz w:val="20"/>
        </w:rPr>
        <w:t xml:space="preserve">Paszke, Adam, Sam Gross, Francisco Massa, et al. 2019.</w:t>
      </w:r>
      <w:r>
        <w:rPr>
          <w:rFonts w:ascii="Times New Roman" w:hAnsi="Times New Roman"/>
          <w:sz w:val="20"/>
        </w:rPr>
        <w:t xml:space="preserve"> </w:t>
      </w:r>
      <w:r>
        <w:rPr>
          <w:rFonts w:ascii="Times New Roman" w:hAnsi="Times New Roman"/>
          <w:sz w:val="20"/>
        </w:rPr>
        <w:t xml:space="preserve">“PyTorch: An</w:t>
      </w:r>
      <w:r>
        <w:rPr>
          <w:rFonts w:ascii="Times New Roman" w:hAnsi="Times New Roman"/>
          <w:sz w:val="20"/>
        </w:rPr>
        <w:t xml:space="preserve"> </w:t>
      </w:r>
      <w:r>
        <w:rPr>
          <w:rFonts w:ascii="Times New Roman" w:hAnsi="Times New Roman"/>
          <w:sz w:val="20"/>
        </w:rPr>
        <w:t xml:space="preserve">Imperative Style, High-Performance Deep Learning Library.”</w:t>
      </w:r>
      <w:r>
        <w:rPr>
          <w:rFonts w:ascii="Times New Roman" w:hAnsi="Times New Roman"/>
          <w:sz w:val="20"/>
        </w:rPr>
        <w:t xml:space="preserve"> </w:t>
      </w:r>
      <w:r>
        <w:rPr>
          <w:i/>
          <w:iCs/>
        </w:rPr>
        <w:t xml:space="preserve">Advances in</w:t>
      </w:r>
      <w:r>
        <w:rPr>
          <w:i/>
          <w:iCs/>
        </w:rPr>
        <w:t xml:space="preserve"> </w:t>
      </w:r>
      <w:r>
        <w:rPr>
          <w:i/>
          <w:iCs/>
        </w:rPr>
        <w:t xml:space="preserve">Neural Information Processing Systems (NeurIPS)</w:t>
      </w:r>
      <w:r>
        <w:rPr>
          <w:rFonts w:ascii="Times New Roman" w:hAnsi="Times New Roman"/>
          <w:sz w:val="20"/>
        </w:rPr>
        <w:t xml:space="preserve"> </w:t>
      </w:r>
      <w:r>
        <w:rPr>
          <w:rFonts w:ascii="Times New Roman" w:hAnsi="Times New Roman"/>
          <w:sz w:val="20"/>
        </w:rPr>
        <w:t xml:space="preserve">32.</w:t>
      </w:r>
      <w:r>
        <w:rPr>
          <w:rFonts w:ascii="Times New Roman" w:hAnsi="Times New Roman"/>
          <w:sz w:val="20"/>
        </w:rPr>
        <w:t xml:space="preserve"> </w:t>
      </w:r>
      <w:hyperlink r:id="rId58">
        <w:r>
          <w:rPr>
            <w:rStyle w:val="Hyperlink"/>
          </w:rPr>
          <w:t xml:space="preserve">https://papers.nips.cc/paper/2019/hash/bdbca288fee7f92f2bfa9f7012727740-Abstract.html</w:t>
        </w:r>
      </w:hyperlink>
      <w:r>
        <w:rPr>
          <w:rFonts w:ascii="Times New Roman" w:hAnsi="Times New Roman"/>
          <w:sz w:val="20"/>
        </w:rPr>
        <w:t xml:space="preserve">.</w:t>
      </w:r>
    </w:p>
    <w:p>
      <w:pPr>
        <w:pStyle w:val="BodyText"/>
        <w:jc w:val="both"/>
      </w:pPr>
      <w:r>
        <w:rPr>
          <w:rFonts w:ascii="Times New Roman" w:hAnsi="Times New Roman"/>
          <w:sz w:val="20"/>
        </w:rPr>
        <w:t xml:space="preserve">Ramírez, Sebastián. 2024.</w:t>
      </w:r>
      <w:r>
        <w:rPr>
          <w:rFonts w:ascii="Times New Roman" w:hAnsi="Times New Roman"/>
          <w:sz w:val="20"/>
        </w:rPr>
        <w:t xml:space="preserve"> </w:t>
      </w:r>
      <w:r>
        <w:rPr>
          <w:i/>
          <w:iCs/>
        </w:rPr>
        <w:t xml:space="preserve">FastAPI: A Modern, Fast Web Framework for</w:t>
      </w:r>
      <w:r>
        <w:rPr>
          <w:i/>
          <w:iCs/>
        </w:rPr>
        <w:t xml:space="preserve"> </w:t>
      </w:r>
      <w:r>
        <w:rPr>
          <w:i/>
          <w:iCs/>
        </w:rPr>
        <w:t xml:space="preserve">Building APIs with Python 3.8+</w:t>
      </w:r>
      <w:r>
        <w:rPr>
          <w:rFonts w:ascii="Times New Roman" w:hAnsi="Times New Roman"/>
          <w:sz w:val="20"/>
        </w:rPr>
        <w:t xml:space="preserve">. Online Documentation,</w:t>
      </w:r>
      <w:r>
        <w:rPr>
          <w:rFonts w:ascii="Times New Roman" w:hAnsi="Times New Roman"/>
          <w:sz w:val="20"/>
        </w:rPr>
        <w:t xml:space="preserve"> </w:t>
      </w:r>
      <w:hyperlink r:id="rId59">
        <w:r>
          <w:rPr>
            <w:rStyle w:val="Hyperlink"/>
          </w:rPr>
          <w:t xml:space="preserve">https://fastapi.tiangolo.com</w:t>
        </w:r>
      </w:hyperlink>
      <w:r>
        <w:rPr>
          <w:rFonts w:ascii="Times New Roman" w:hAnsi="Times New Roman"/>
          <w:sz w:val="20"/>
        </w:rPr>
        <w:t xml:space="preserve">.</w:t>
      </w:r>
    </w:p>
    <w:p>
      <w:pPr>
        <w:pStyle w:val="BodyText"/>
        <w:jc w:val="both"/>
      </w:pPr>
      <w:r>
        <w:rPr>
          <w:rFonts w:ascii="Times New Roman" w:hAnsi="Times New Roman"/>
          <w:sz w:val="20"/>
        </w:rPr>
        <w:t xml:space="preserve">Saleem, Muhammad Hamza, Johan Potgieter, and Khalid Mahmood Arif. 2019.</w:t>
      </w:r>
      <w:r>
        <w:rPr>
          <w:rFonts w:ascii="Times New Roman" w:hAnsi="Times New Roman"/>
          <w:sz w:val="20"/>
        </w:rPr>
        <w:t xml:space="preserve"> </w:t>
      </w:r>
      <w:r>
        <w:rPr>
          <w:rFonts w:ascii="Times New Roman" w:hAnsi="Times New Roman"/>
          <w:sz w:val="20"/>
        </w:rPr>
        <w:t xml:space="preserve">“Plant Disease Detection and Classification by Deep Learning.”</w:t>
      </w:r>
      <w:r>
        <w:rPr>
          <w:rFonts w:ascii="Times New Roman" w:hAnsi="Times New Roman"/>
          <w:sz w:val="20"/>
        </w:rPr>
        <w:t xml:space="preserve"> </w:t>
      </w:r>
      <w:r>
        <w:rPr>
          <w:i/>
          <w:iCs/>
        </w:rPr>
        <w:t xml:space="preserve">Plants</w:t>
      </w:r>
      <w:r>
        <w:rPr>
          <w:rFonts w:ascii="Times New Roman" w:hAnsi="Times New Roman"/>
          <w:sz w:val="20"/>
        </w:rPr>
        <w:t xml:space="preserve"> </w:t>
      </w:r>
      <w:r>
        <w:rPr>
          <w:rFonts w:ascii="Times New Roman" w:hAnsi="Times New Roman"/>
          <w:sz w:val="20"/>
        </w:rPr>
        <w:t xml:space="preserve">8 (11): 468.</w:t>
      </w:r>
      <w:r>
        <w:rPr>
          <w:rFonts w:ascii="Times New Roman" w:hAnsi="Times New Roman"/>
          <w:sz w:val="20"/>
        </w:rPr>
        <w:t xml:space="preserve"> </w:t>
      </w:r>
      <w:hyperlink r:id="rId60">
        <w:r>
          <w:rPr>
            <w:rStyle w:val="Hyperlink"/>
          </w:rPr>
          <w:t xml:space="preserve">https://doi.org/10.3390/plants8110468</w:t>
        </w:r>
      </w:hyperlink>
      <w:r>
        <w:rPr>
          <w:rFonts w:ascii="Times New Roman" w:hAnsi="Times New Roman"/>
          <w:sz w:val="20"/>
        </w:rPr>
        <w:t xml:space="preserve">.</w:t>
      </w:r>
    </w:p>
    <w:p>
      <w:pPr>
        <w:pStyle w:val="BodyText"/>
        <w:jc w:val="both"/>
      </w:pPr>
      <w:r>
        <w:rPr>
          <w:rFonts w:ascii="Times New Roman" w:hAnsi="Times New Roman"/>
          <w:sz w:val="20"/>
        </w:rPr>
        <w:t xml:space="preserve">Sharma, Gaurav, Raj Kumar, and G. P. Rao. 2017.</w:t>
      </w:r>
      <w:r>
        <w:rPr>
          <w:rFonts w:ascii="Times New Roman" w:hAnsi="Times New Roman"/>
          <w:sz w:val="20"/>
        </w:rPr>
        <w:t xml:space="preserve"> </w:t>
      </w:r>
      <w:r>
        <w:rPr>
          <w:rFonts w:ascii="Times New Roman" w:hAnsi="Times New Roman"/>
          <w:sz w:val="20"/>
        </w:rPr>
        <w:t xml:space="preserve">“Pomegranate Diseases</w:t>
      </w:r>
      <w:r>
        <w:rPr>
          <w:rFonts w:ascii="Times New Roman" w:hAnsi="Times New Roman"/>
          <w:sz w:val="20"/>
        </w:rPr>
        <w:t xml:space="preserve"> </w:t>
      </w:r>
      <w:r>
        <w:rPr>
          <w:rFonts w:ascii="Times New Roman" w:hAnsi="Times New Roman"/>
          <w:sz w:val="20"/>
        </w:rPr>
        <w:t xml:space="preserve">and Their Management: A Review.”</w:t>
      </w:r>
      <w:r>
        <w:rPr>
          <w:rFonts w:ascii="Times New Roman" w:hAnsi="Times New Roman"/>
          <w:sz w:val="20"/>
        </w:rPr>
        <w:t xml:space="preserve"> </w:t>
      </w:r>
      <w:r>
        <w:rPr>
          <w:i/>
          <w:iCs/>
        </w:rPr>
        <w:t xml:space="preserve">Indian Phytopathology</w:t>
      </w:r>
      <w:r>
        <w:rPr>
          <w:rFonts w:ascii="Times New Roman" w:hAnsi="Times New Roman"/>
          <w:sz w:val="20"/>
        </w:rPr>
        <w:t xml:space="preserve"> </w:t>
      </w:r>
      <w:r>
        <w:rPr>
          <w:rFonts w:ascii="Times New Roman" w:hAnsi="Times New Roman"/>
          <w:sz w:val="20"/>
        </w:rPr>
        <w:t xml:space="preserve">70 (4):</w:t>
      </w:r>
      <w:r>
        <w:rPr>
          <w:rFonts w:ascii="Times New Roman" w:hAnsi="Times New Roman"/>
          <w:sz w:val="20"/>
        </w:rPr>
        <w:t xml:space="preserve"> </w:t>
      </w:r>
      <w:r>
        <w:rPr>
          <w:rFonts w:ascii="Times New Roman" w:hAnsi="Times New Roman"/>
          <w:sz w:val="20"/>
        </w:rPr>
        <w:t xml:space="preserve">413–22.</w:t>
      </w:r>
    </w:p>
    <w:p>
      <w:pPr>
        <w:pStyle w:val="BodyText"/>
        <w:jc w:val="both"/>
      </w:pPr>
      <w:r>
        <w:rPr>
          <w:rFonts w:ascii="Times New Roman" w:hAnsi="Times New Roman"/>
          <w:sz w:val="20"/>
        </w:rPr>
        <w:t xml:space="preserve">Simonyan, Karen, and Andrew Zisserman. 2015.</w:t>
      </w:r>
      <w:r>
        <w:rPr>
          <w:rFonts w:ascii="Times New Roman" w:hAnsi="Times New Roman"/>
          <w:sz w:val="20"/>
        </w:rPr>
        <w:t xml:space="preserve"> </w:t>
      </w:r>
      <w:r>
        <w:rPr>
          <w:rFonts w:ascii="Times New Roman" w:hAnsi="Times New Roman"/>
          <w:sz w:val="20"/>
        </w:rPr>
        <w:t xml:space="preserve">“Very Deep Convolutional</w:t>
      </w:r>
      <w:r>
        <w:rPr>
          <w:rFonts w:ascii="Times New Roman" w:hAnsi="Times New Roman"/>
          <w:sz w:val="20"/>
        </w:rPr>
        <w:t xml:space="preserve"> </w:t>
      </w:r>
      <w:r>
        <w:rPr>
          <w:rFonts w:ascii="Times New Roman" w:hAnsi="Times New Roman"/>
          <w:sz w:val="20"/>
        </w:rPr>
        <w:t xml:space="preserve">Networks for Large-Scale Image Recognition.”</w:t>
      </w:r>
      <w:r>
        <w:rPr>
          <w:rFonts w:ascii="Times New Roman" w:hAnsi="Times New Roman"/>
          <w:sz w:val="20"/>
        </w:rPr>
        <w:t xml:space="preserve"> </w:t>
      </w:r>
      <w:r>
        <w:rPr>
          <w:i/>
          <w:iCs/>
        </w:rPr>
        <w:t xml:space="preserve">International Conference</w:t>
      </w:r>
      <w:r>
        <w:rPr>
          <w:i/>
          <w:iCs/>
        </w:rPr>
        <w:t xml:space="preserve"> </w:t>
      </w:r>
      <w:r>
        <w:rPr>
          <w:i/>
          <w:iCs/>
        </w:rPr>
        <w:t xml:space="preserve">on Learning Representations (ICLR)</w:t>
      </w:r>
      <w:r>
        <w:rPr>
          <w:rFonts w:ascii="Times New Roman" w:hAnsi="Times New Roman"/>
          <w:sz w:val="20"/>
        </w:rPr>
        <w:t xml:space="preserve">.</w:t>
      </w:r>
      <w:r>
        <w:rPr>
          <w:rFonts w:ascii="Times New Roman" w:hAnsi="Times New Roman"/>
          <w:sz w:val="20"/>
        </w:rPr>
        <w:t xml:space="preserve"> </w:t>
      </w:r>
      <w:hyperlink r:id="rId61">
        <w:r>
          <w:rPr>
            <w:rStyle w:val="Hyperlink"/>
          </w:rPr>
          <w:t xml:space="preserve">https://arxiv.org/abs/1409.1556</w:t>
        </w:r>
      </w:hyperlink>
      <w:r>
        <w:rPr>
          <w:rFonts w:ascii="Times New Roman" w:hAnsi="Times New Roman"/>
          <w:sz w:val="20"/>
        </w:rPr>
        <w:t xml:space="preserve">.</w:t>
      </w:r>
    </w:p>
    <w:p>
      <w:pPr>
        <w:pStyle w:val="BodyText"/>
        <w:jc w:val="both"/>
      </w:pPr>
      <w:r>
        <w:rPr>
          <w:rFonts w:ascii="Times New Roman" w:hAnsi="Times New Roman"/>
          <w:sz w:val="20"/>
        </w:rPr>
        <w:t xml:space="preserve">Stone, Peter, and Manuela Veloso. 2000.</w:t>
      </w:r>
      <w:r>
        <w:rPr>
          <w:rFonts w:ascii="Times New Roman" w:hAnsi="Times New Roman"/>
          <w:sz w:val="20"/>
        </w:rPr>
        <w:t xml:space="preserve"> </w:t>
      </w:r>
      <w:r>
        <w:rPr>
          <w:rFonts w:ascii="Times New Roman" w:hAnsi="Times New Roman"/>
          <w:sz w:val="20"/>
        </w:rPr>
        <w:t xml:space="preserve">“Multiagent Systems: A Survey</w:t>
      </w:r>
      <w:r>
        <w:rPr>
          <w:rFonts w:ascii="Times New Roman" w:hAnsi="Times New Roman"/>
          <w:sz w:val="20"/>
        </w:rPr>
        <w:t xml:space="preserve"> </w:t>
      </w:r>
      <w:r>
        <w:rPr>
          <w:rFonts w:ascii="Times New Roman" w:hAnsi="Times New Roman"/>
          <w:sz w:val="20"/>
        </w:rPr>
        <w:t xml:space="preserve">from a Machine Learning Perspective.”</w:t>
      </w:r>
      <w:r>
        <w:rPr>
          <w:rFonts w:ascii="Times New Roman" w:hAnsi="Times New Roman"/>
          <w:sz w:val="20"/>
        </w:rPr>
        <w:t xml:space="preserve"> </w:t>
      </w:r>
      <w:r>
        <w:rPr>
          <w:i/>
          <w:iCs/>
        </w:rPr>
        <w:t xml:space="preserve">Autonomous Robots</w:t>
      </w:r>
      <w:r>
        <w:rPr>
          <w:rFonts w:ascii="Times New Roman" w:hAnsi="Times New Roman"/>
          <w:sz w:val="20"/>
        </w:rPr>
        <w:t xml:space="preserve"> </w:t>
      </w:r>
      <w:r>
        <w:rPr>
          <w:rFonts w:ascii="Times New Roman" w:hAnsi="Times New Roman"/>
          <w:sz w:val="20"/>
        </w:rPr>
        <w:t xml:space="preserve">8 (3):</w:t>
      </w:r>
      <w:r>
        <w:rPr>
          <w:rFonts w:ascii="Times New Roman" w:hAnsi="Times New Roman"/>
          <w:sz w:val="20"/>
        </w:rPr>
        <w:t xml:space="preserve"> </w:t>
      </w:r>
      <w:r>
        <w:rPr>
          <w:rFonts w:ascii="Times New Roman" w:hAnsi="Times New Roman"/>
          <w:sz w:val="20"/>
        </w:rPr>
        <w:t xml:space="preserve">345–83.</w:t>
      </w:r>
      <w:r>
        <w:rPr>
          <w:rFonts w:ascii="Times New Roman" w:hAnsi="Times New Roman"/>
          <w:sz w:val="20"/>
        </w:rPr>
        <w:t xml:space="preserve"> </w:t>
      </w:r>
      <w:hyperlink r:id="rId62">
        <w:r>
          <w:rPr>
            <w:rStyle w:val="Hyperlink"/>
          </w:rPr>
          <w:t xml:space="preserve">https://doi.org/10.1023/A:1008942012299</w:t>
        </w:r>
      </w:hyperlink>
      <w:r>
        <w:rPr>
          <w:rFonts w:ascii="Times New Roman" w:hAnsi="Times New Roman"/>
          <w:sz w:val="20"/>
        </w:rPr>
        <w:t xml:space="preserve">.</w:t>
      </w:r>
    </w:p>
    <w:p>
      <w:pPr>
        <w:pStyle w:val="BodyText"/>
        <w:jc w:val="both"/>
      </w:pPr>
      <w:r>
        <w:rPr>
          <w:rFonts w:ascii="Times New Roman" w:hAnsi="Times New Roman"/>
          <w:sz w:val="20"/>
        </w:rPr>
        <w:t xml:space="preserve">Szegedy, Christian, Vincent Vanhoucke, Sergey Ioffe, Jon Shlens, and</w:t>
      </w:r>
      <w:r>
        <w:rPr>
          <w:rFonts w:ascii="Times New Roman" w:hAnsi="Times New Roman"/>
          <w:sz w:val="20"/>
        </w:rPr>
        <w:t xml:space="preserve"> </w:t>
      </w:r>
      <w:r>
        <w:rPr>
          <w:rFonts w:ascii="Times New Roman" w:hAnsi="Times New Roman"/>
          <w:sz w:val="20"/>
        </w:rPr>
        <w:t xml:space="preserve">Zbigniew Wojna. 2016.</w:t>
      </w:r>
      <w:r>
        <w:rPr>
          <w:rFonts w:ascii="Times New Roman" w:hAnsi="Times New Roman"/>
          <w:sz w:val="20"/>
        </w:rPr>
        <w:t xml:space="preserve"> </w:t>
      </w:r>
      <w:r>
        <w:rPr>
          <w:rFonts w:ascii="Times New Roman" w:hAnsi="Times New Roman"/>
          <w:sz w:val="20"/>
        </w:rPr>
        <w:t xml:space="preserve">“Rethinking the Inception Architecture for</w:t>
      </w:r>
      <w:r>
        <w:rPr>
          <w:rFonts w:ascii="Times New Roman" w:hAnsi="Times New Roman"/>
          <w:sz w:val="20"/>
        </w:rPr>
        <w:t xml:space="preserve"> </w:t>
      </w:r>
      <w:r>
        <w:rPr>
          <w:rFonts w:ascii="Times New Roman" w:hAnsi="Times New Roman"/>
          <w:sz w:val="20"/>
        </w:rPr>
        <w:t xml:space="preserve">Computer Vision.”</w:t>
      </w:r>
      <w:r>
        <w:rPr>
          <w:rFonts w:ascii="Times New Roman" w:hAnsi="Times New Roman"/>
          <w:sz w:val="20"/>
        </w:rPr>
        <w:t xml:space="preserve"> </w:t>
      </w:r>
      <w:r>
        <w:rPr>
          <w:i/>
          <w:iCs/>
        </w:rPr>
        <w:t xml:space="preserve">Proceedings of the IEEE Conference on Computer Vision</w:t>
      </w:r>
      <w:r>
        <w:rPr>
          <w:i/>
          <w:iCs/>
        </w:rPr>
        <w:t xml:space="preserve"> </w:t>
      </w:r>
      <w:r>
        <w:rPr>
          <w:i/>
          <w:iCs/>
        </w:rPr>
        <w:t xml:space="preserve">and Pattern Recognition (CVPR)</w:t>
      </w:r>
      <w:r>
        <w:rPr>
          <w:rFonts w:ascii="Times New Roman" w:hAnsi="Times New Roman"/>
          <w:sz w:val="20"/>
        </w:rPr>
        <w:t xml:space="preserve">, 2818–26.</w:t>
      </w:r>
      <w:r>
        <w:rPr>
          <w:rFonts w:ascii="Times New Roman" w:hAnsi="Times New Roman"/>
          <w:sz w:val="20"/>
        </w:rPr>
        <w:t xml:space="preserve"> </w:t>
      </w:r>
      <w:hyperlink r:id="rId63">
        <w:r>
          <w:rPr>
            <w:rStyle w:val="Hyperlink"/>
          </w:rPr>
          <w:t xml:space="preserve">https://doi.org/10.1109/CVPR.2016.308</w:t>
        </w:r>
      </w:hyperlink>
      <w:r>
        <w:rPr>
          <w:rFonts w:ascii="Times New Roman" w:hAnsi="Times New Roman"/>
          <w:sz w:val="20"/>
        </w:rPr>
        <w:t xml:space="preserve">.</w:t>
      </w:r>
    </w:p>
    <w:p>
      <w:pPr>
        <w:pStyle w:val="BodyText"/>
        <w:jc w:val="both"/>
      </w:pPr>
      <w:r>
        <w:rPr>
          <w:rFonts w:ascii="Times New Roman" w:hAnsi="Times New Roman"/>
          <w:sz w:val="20"/>
        </w:rPr>
        <w:t xml:space="preserve">Tan, Mingxing, and Quoc V. Le. 2019.</w:t>
      </w:r>
      <w:r>
        <w:rPr>
          <w:rFonts w:ascii="Times New Roman" w:hAnsi="Times New Roman"/>
          <w:sz w:val="20"/>
        </w:rPr>
        <w:t xml:space="preserve"> </w:t>
      </w:r>
      <w:r>
        <w:rPr>
          <w:rFonts w:ascii="Times New Roman" w:hAnsi="Times New Roman"/>
          <w:sz w:val="20"/>
        </w:rPr>
        <w:t xml:space="preserve">“EfficientNet: Rethinking Model</w:t>
      </w:r>
      <w:r>
        <w:rPr>
          <w:rFonts w:ascii="Times New Roman" w:hAnsi="Times New Roman"/>
          <w:sz w:val="20"/>
        </w:rPr>
        <w:t xml:space="preserve"> </w:t>
      </w:r>
      <w:r>
        <w:rPr>
          <w:rFonts w:ascii="Times New Roman" w:hAnsi="Times New Roman"/>
          <w:sz w:val="20"/>
        </w:rPr>
        <w:t xml:space="preserve">Scaling for Convolutional Neural Networks.”</w:t>
      </w:r>
      <w:r>
        <w:rPr>
          <w:rFonts w:ascii="Times New Roman" w:hAnsi="Times New Roman"/>
          <w:sz w:val="20"/>
        </w:rPr>
        <w:t xml:space="preserve"> </w:t>
      </w:r>
      <w:r>
        <w:rPr>
          <w:i/>
          <w:iCs/>
        </w:rPr>
        <w:t xml:space="preserve">Proceedings of the 36th</w:t>
      </w:r>
      <w:r>
        <w:rPr>
          <w:i/>
          <w:iCs/>
        </w:rPr>
        <w:t xml:space="preserve"> </w:t>
      </w:r>
      <w:r>
        <w:rPr>
          <w:i/>
          <w:iCs/>
        </w:rPr>
        <w:t xml:space="preserve">International Conference on Machine Learning (ICML)</w:t>
      </w:r>
      <w:r>
        <w:rPr>
          <w:rFonts w:ascii="Times New Roman" w:hAnsi="Times New Roman"/>
          <w:sz w:val="20"/>
        </w:rPr>
        <w:t xml:space="preserve">, Proceedings of</w:t>
      </w:r>
      <w:r>
        <w:rPr>
          <w:rFonts w:ascii="Times New Roman" w:hAnsi="Times New Roman"/>
          <w:sz w:val="20"/>
        </w:rPr>
        <w:t xml:space="preserve"> </w:t>
      </w:r>
      <w:r>
        <w:rPr>
          <w:rFonts w:ascii="Times New Roman" w:hAnsi="Times New Roman"/>
          <w:sz w:val="20"/>
        </w:rPr>
        <w:t xml:space="preserve">machine learning research, vol. 97: 6105–14.</w:t>
      </w:r>
      <w:r>
        <w:rPr>
          <w:rFonts w:ascii="Times New Roman" w:hAnsi="Times New Roman"/>
          <w:sz w:val="20"/>
        </w:rPr>
        <w:t xml:space="preserve"> </w:t>
      </w:r>
      <w:hyperlink r:id="rId64">
        <w:r>
          <w:rPr>
            <w:rStyle w:val="Hyperlink"/>
          </w:rPr>
          <w:t xml:space="preserve">https://proceedings.mlr.press/v97/tan19a.html</w:t>
        </w:r>
      </w:hyperlink>
      <w:r>
        <w:rPr>
          <w:rFonts w:ascii="Times New Roman" w:hAnsi="Times New Roman"/>
          <w:sz w:val="20"/>
        </w:rPr>
        <w:t xml:space="preserve">.</w:t>
      </w:r>
    </w:p>
    <w:p>
      <w:pPr>
        <w:pStyle w:val="BodyText"/>
        <w:jc w:val="both"/>
      </w:pPr>
      <w:r>
        <w:rPr>
          <w:rFonts w:ascii="Times New Roman" w:hAnsi="Times New Roman"/>
          <w:sz w:val="20"/>
        </w:rPr>
        <w:t xml:space="preserve">W3C OWL Working Group. 2012.</w:t>
      </w:r>
      <w:r>
        <w:rPr>
          <w:rFonts w:ascii="Times New Roman" w:hAnsi="Times New Roman"/>
          <w:sz w:val="20"/>
        </w:rPr>
        <w:t xml:space="preserve"> </w:t>
      </w:r>
      <w:r>
        <w:rPr>
          <w:i/>
          <w:iCs/>
        </w:rPr>
        <w:t xml:space="preserve">OWL 2 Web Ontology Language Document</w:t>
      </w:r>
      <w:r>
        <w:rPr>
          <w:i/>
          <w:iCs/>
        </w:rPr>
        <w:t xml:space="preserve"> </w:t>
      </w:r>
      <w:r>
        <w:rPr>
          <w:i/>
          <w:iCs/>
        </w:rPr>
        <w:t xml:space="preserve">Overview (Second Edition)</w:t>
      </w:r>
      <w:r>
        <w:rPr>
          <w:rFonts w:ascii="Times New Roman" w:hAnsi="Times New Roman"/>
          <w:sz w:val="20"/>
        </w:rPr>
        <w:t xml:space="preserve">. W3C Recommendation.</w:t>
      </w:r>
      <w:r>
        <w:rPr>
          <w:rFonts w:ascii="Times New Roman" w:hAnsi="Times New Roman"/>
          <w:sz w:val="20"/>
        </w:rPr>
        <w:t xml:space="preserve"> </w:t>
      </w:r>
      <w:hyperlink r:id="rId65">
        <w:r>
          <w:rPr>
            <w:rStyle w:val="Hyperlink"/>
          </w:rPr>
          <w:t xml:space="preserve">https://www.w3.org/TR/owl2-overview/</w:t>
        </w:r>
      </w:hyperlink>
      <w:r>
        <w:rPr>
          <w:rFonts w:ascii="Times New Roman" w:hAnsi="Times New Roman"/>
          <w:sz w:val="20"/>
        </w:rPr>
        <w:t xml:space="preserve">.</w:t>
      </w:r>
    </w:p>
    <w:p>
      <w:pPr>
        <w:pStyle w:val="BodyText"/>
        <w:jc w:val="both"/>
      </w:pPr>
      <w:r>
        <w:rPr>
          <w:rFonts w:ascii="Times New Roman" w:hAnsi="Times New Roman"/>
          <w:sz w:val="20"/>
        </w:rPr>
        <w:t xml:space="preserve">Wooldridge, Michael. 2009.</w:t>
      </w:r>
      <w:r>
        <w:rPr>
          <w:rFonts w:ascii="Times New Roman" w:hAnsi="Times New Roman"/>
          <w:sz w:val="20"/>
        </w:rPr>
        <w:t xml:space="preserve"> </w:t>
      </w:r>
      <w:r>
        <w:rPr>
          <w:i/>
          <w:iCs/>
        </w:rPr>
        <w:t xml:space="preserve">An Introduction to Multiagent Systems</w:t>
      </w:r>
      <w:r>
        <w:rPr>
          <w:rFonts w:ascii="Times New Roman" w:hAnsi="Times New Roman"/>
          <w:sz w:val="20"/>
        </w:rPr>
        <w:t xml:space="preserve">. 2nd</w:t>
      </w:r>
      <w:r>
        <w:rPr>
          <w:rFonts w:ascii="Times New Roman" w:hAnsi="Times New Roman"/>
          <w:sz w:val="20"/>
        </w:rPr>
        <w:t xml:space="preserve"> </w:t>
      </w:r>
      <w:r>
        <w:rPr>
          <w:rFonts w:ascii="Times New Roman" w:hAnsi="Times New Roman"/>
          <w:sz w:val="20"/>
        </w:rPr>
        <w:t xml:space="preserve">ed. John Wiley &amp; Sons.</w:t>
      </w:r>
    </w:p>
    <w:bookmarkEnd w:id="66"/>
    <w:sectPr w:rsidR="00FC693F" w:rsidRPr="0006063C" w:rsidSect="00034616">
      <w:pgSz w:h="15840" w:w="12240"/>
      <w:pgMar w:bottom="1440" w:footer="720" w:gutter="0" w:header="720" w:left="1080" w:right="1080" w:top="1440"/>
      <w:docGrid w:linePitch="360"/>
      <w:cols w:num="2" w:space="720" w:equalWidth="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240" w:lineRule="exact"/>
      <w:ind w:firstLine="240"/>
      <w:jc w:val="both"/>
    </w:pPr>
    <w:rPr>
      <w:rFonts w:ascii="Times New Roman" w:hAnsi="Times New Roman"/>
      <w:b w:val="0"/>
      <w:i w:val="0"/>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60" w:before="120" w:line="240" w:lineRule="exact"/>
      <w:ind w:firstLine="0"/>
      <w:jc w:val="center"/>
      <w:outlineLvl w:val="0"/>
    </w:pPr>
    <w:rPr>
      <w:rFonts w:ascii="Times New Roman" w:asciiTheme="majorHAnsi" w:cstheme="majorBidi" w:eastAsiaTheme="majorEastAsia" w:hAnsi="Times New Roman" w:hAnsiTheme="majorHAnsi"/>
      <w:b/>
      <w:bCs/>
      <w:i w:val="0"/>
      <w:smallCaps/>
      <w:color w:themeColor="accent1" w:themeShade="BF" w:val="365F91"/>
      <w:sz w:val="20"/>
      <w:szCs w:val="28"/>
    </w:rPr>
  </w:style>
  <w:style w:styleId="Heading2" w:type="paragraph">
    <w:name w:val="heading 2"/>
    <w:basedOn w:val="Normal"/>
    <w:next w:val="Normal"/>
    <w:link w:val="Heading2Char"/>
    <w:uiPriority w:val="9"/>
    <w:unhideWhenUsed/>
    <w:qFormat/>
    <w:rsid w:val="00FC693F"/>
    <w:pPr>
      <w:keepNext/>
      <w:keepLines/>
      <w:spacing w:after="40" w:before="80" w:line="240" w:lineRule="exact"/>
      <w:ind w:firstLine="0"/>
      <w:jc w:val="left"/>
      <w:outlineLvl w:val="1"/>
    </w:pPr>
    <w:rPr>
      <w:rFonts w:ascii="Times New Roman" w:asciiTheme="majorHAnsi" w:cstheme="majorBidi" w:eastAsiaTheme="majorEastAsia" w:hAnsi="Times New Roman" w:hAnsiTheme="majorHAnsi"/>
      <w:b/>
      <w:bCs/>
      <w:i/>
      <w:color w:themeColor="accent1" w:val="4F81BD"/>
      <w:sz w:val="20"/>
      <w:szCs w:val="26"/>
    </w:rPr>
  </w:style>
  <w:style w:styleId="Heading3" w:type="paragraph">
    <w:name w:val="heading 3"/>
    <w:basedOn w:val="Normal"/>
    <w:next w:val="Normal"/>
    <w:link w:val="Heading3Char"/>
    <w:uiPriority w:val="9"/>
    <w:unhideWhenUsed/>
    <w:qFormat/>
    <w:rsid w:val="00FC693F"/>
    <w:pPr>
      <w:keepNext/>
      <w:keepLines/>
      <w:spacing w:after="20" w:before="60" w:line="240" w:lineRule="exact"/>
      <w:ind w:firstLine="0"/>
      <w:jc w:val="left"/>
      <w:outlineLvl w:val="2"/>
    </w:pPr>
    <w:rPr>
      <w:rFonts w:ascii="Times New Roman" w:asciiTheme="majorHAnsi" w:cstheme="majorBidi" w:eastAsiaTheme="majorEastAsia" w:hAnsi="Times New Roman" w:hAnsiTheme="majorHAnsi"/>
      <w:b w:val="0"/>
      <w:bCs/>
      <w:i/>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560" w:lineRule="exact"/>
      <w:ind w:firstLine="0"/>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80" w:before="0" w:line="280" w:lineRule="exact"/>
      <w:ind w:firstLine="0"/>
      <w:jc w:val="center"/>
    </w:pPr>
    <w:rPr>
      <w:rFonts w:ascii="Times New Roman" w:asciiTheme="majorHAnsi" w:cstheme="majorBidi" w:eastAsiaTheme="majorEastAsia" w:hAnsi="Times New Roman" w:hAnsiTheme="majorHAnsi"/>
      <w:b w:val="0"/>
      <w:i w:val="0"/>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60" w:before="60" w:line="220" w:lineRule="exact"/>
      <w:jc w:val="center"/>
    </w:pPr>
    <w:rPr>
      <w:rFonts w:ascii="Times New Roman" w:hAnsi="Times New Roman"/>
      <w:b w:val="0"/>
      <w:bCs/>
      <w:i w:val="0"/>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lockText" w:type="paragraph">
    <w:name w:val="Block Text"/>
    <w:pPr>
      <w:spacing w:after="80" w:before="80" w:line="220" w:lineRule="exact"/>
      <w:ind w:firstLine="0" w:left="360"/>
      <w:jc w:val="both"/>
    </w:pPr>
    <w:rPr>
      <w:rFonts w:ascii="Times New Roman" w:hAnsi="Times New Roman"/>
      <w:b w:val="0"/>
      <w:i w:val="0"/>
      <w:sz w:val="18"/>
    </w:rPr>
  </w:style>
  <w:style w:customStyle="1" w:styleId="TableContents" w:type="paragraph">
    <w:name w:val="Table Contents"/>
    <w:pPr>
      <w:spacing w:after="0" w:before="0" w:line="220" w:lineRule="exact"/>
      <w:ind w:firstLine="0"/>
      <w:jc w:val="center"/>
    </w:pPr>
    <w:rPr>
      <w:rFonts w:ascii="Times New Roman" w:hAnsi="Times New Roman"/>
      <w:b w:val="0"/>
      <w:i w:val="0"/>
      <w:sz w:val="18"/>
    </w:rPr>
  </w:style>
  <w:style w:customStyle="1" w:styleId="VerbatimChar" w:type="character">
    <w:name w:val="Verbatim Char"/>
    <w:rPr>
      <w:rFonts w:ascii="Courier New" w:hAnsi="Courier New"/>
      <w:sz w:val="16"/>
    </w:rPr>
  </w:style>
  <w:style w:customStyle="1" w:styleId="Verbatim" w:type="paragraph">
    <w:name w:val="Verbatim"/>
    <w:pPr>
      <w:spacing w:after="40" w:before="40" w:line="200" w:lineRule="exact"/>
      <w:ind w:firstLine="0" w:left="360"/>
      <w:jc w:val="left"/>
    </w:pPr>
    <w:rPr>
      <w:rFonts w:ascii="Courier New" w:hAnsi="Courier New"/>
      <w:b w:val="0"/>
      <w:i w:val="0"/>
      <w:sz w:val="16"/>
    </w:rPr>
  </w:style>
  <w:style w:customStyle="1" w:styleId="FirstParagraph" w:type="paragraph">
    <w:name w:val="First Paragraph"/>
    <w:pPr>
      <w:spacing w:after="0" w:before="0" w:line="240" w:lineRule="exact"/>
      <w:ind w:firstLine="0"/>
      <w:jc w:val="both"/>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1" Type="http://schemas.openxmlformats.org/officeDocument/2006/relationships/hyperlink" Target="https://arxiv.org/abs/1409.1556" TargetMode="External"/><Relationship Id="rId53" Type="http://schemas.openxmlformats.org/officeDocument/2006/relationships/hyperlink" Target="https://arxiv.org/abs/1412.6980" TargetMode="External"/><Relationship Id="rId51" Type="http://schemas.openxmlformats.org/officeDocument/2006/relationships/hyperlink" Target="https://arxiv.org/abs/1704.04861" TargetMode="External"/><Relationship Id="rId47" Type="http://schemas.openxmlformats.org/officeDocument/2006/relationships/hyperlink" Target="https://doi.org/10.1016/j.compag.2018.01.009" TargetMode="External"/><Relationship Id="rId52" Type="http://schemas.openxmlformats.org/officeDocument/2006/relationships/hyperlink" Target="https://doi.org/10.1016/j.compag.2018.02.016" TargetMode="External"/><Relationship Id="rId48" Type="http://schemas.openxmlformats.org/officeDocument/2006/relationships/hyperlink" Target="https://doi.org/10.1021/jf000404a" TargetMode="External"/><Relationship Id="rId42" Type="http://schemas.openxmlformats.org/officeDocument/2006/relationships/hyperlink" Target="https://doi.org/10.1021/jf049144d" TargetMode="External"/><Relationship Id="rId62" Type="http://schemas.openxmlformats.org/officeDocument/2006/relationships/hyperlink" Target="https://doi.org/10.1023/A:1008942012299" TargetMode="External"/><Relationship Id="rId46" Type="http://schemas.openxmlformats.org/officeDocument/2006/relationships/hyperlink" Target="https://doi.org/10.1080/10408398.2010.543495" TargetMode="External"/><Relationship Id="rId39" Type="http://schemas.openxmlformats.org/officeDocument/2006/relationships/hyperlink" Target="https://doi.org/10.1093/ajcn/71.5.1062" TargetMode="External"/><Relationship Id="rId45" Type="http://schemas.openxmlformats.org/officeDocument/2006/relationships/hyperlink" Target="https://doi.org/10.1109/ACCESS.2018.2831228" TargetMode="External"/><Relationship Id="rId44" Type="http://schemas.openxmlformats.org/officeDocument/2006/relationships/hyperlink" Target="https://doi.org/10.1109/CVPR.2009.5206848" TargetMode="External"/><Relationship Id="rId63" Type="http://schemas.openxmlformats.org/officeDocument/2006/relationships/hyperlink" Target="https://doi.org/10.1109/CVPR.2016.308" TargetMode="External"/><Relationship Id="rId49" Type="http://schemas.openxmlformats.org/officeDocument/2006/relationships/hyperlink" Target="https://doi.org/10.1109/CVPR.2016.90" TargetMode="External"/><Relationship Id="rId40" Type="http://schemas.openxmlformats.org/officeDocument/2006/relationships/hyperlink" Target="https://doi.org/10.1186/s13640-016-0076-0" TargetMode="External"/><Relationship Id="rId57" Type="http://schemas.openxmlformats.org/officeDocument/2006/relationships/hyperlink" Target="https://doi.org/10.1590/S0103-50532003000200006" TargetMode="External"/><Relationship Id="rId41" Type="http://schemas.openxmlformats.org/officeDocument/2006/relationships/hyperlink" Target="https://doi.org/10.3233/SW-130106" TargetMode="External"/><Relationship Id="rId56" Type="http://schemas.openxmlformats.org/officeDocument/2006/relationships/hyperlink" Target="https://doi.org/10.3389/fpls.2016.01419" TargetMode="External"/><Relationship Id="rId60" Type="http://schemas.openxmlformats.org/officeDocument/2006/relationships/hyperlink" Target="https://doi.org/10.3390/plants8110468" TargetMode="External"/><Relationship Id="rId59" Type="http://schemas.openxmlformats.org/officeDocument/2006/relationships/hyperlink" Target="https://fastapi.tiangolo.com" TargetMode="External"/><Relationship Id="rId54" Type="http://schemas.openxmlformats.org/officeDocument/2006/relationships/hyperlink" Target="https://langchain-ai.github.io/langgraph/" TargetMode="External"/><Relationship Id="rId58" Type="http://schemas.openxmlformats.org/officeDocument/2006/relationships/hyperlink" Target="https://papers.nips.cc/paper/2019/hash/bdbca288fee7f92f2bfa9f7012727740-Abstract.html" TargetMode="External"/><Relationship Id="rId55" Type="http://schemas.openxmlformats.org/officeDocument/2006/relationships/hyperlink" Target="https://playwright.dev" TargetMode="External"/><Relationship Id="rId64" Type="http://schemas.openxmlformats.org/officeDocument/2006/relationships/hyperlink" Target="https://proceedings.mlr.press/v97/tan19a.html" TargetMode="External"/><Relationship Id="rId43" Type="http://schemas.openxmlformats.org/officeDocument/2006/relationships/hyperlink" Target="https://www.cropontology.org" TargetMode="External"/><Relationship Id="rId50" Type="http://schemas.openxmlformats.org/officeDocument/2006/relationships/hyperlink" Target="https://www.w3.org/Submission/SWRL/" TargetMode="External"/><Relationship Id="rId65" Type="http://schemas.openxmlformats.org/officeDocument/2006/relationships/hyperlink" Target="https://www.w3.org/TR/owl2-overview/"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1" Type="http://schemas.openxmlformats.org/officeDocument/2006/relationships/hyperlink" Target="https://arxiv.org/abs/1409.1556" TargetMode="External"/><Relationship Id="rId53" Type="http://schemas.openxmlformats.org/officeDocument/2006/relationships/hyperlink" Target="https://arxiv.org/abs/1412.6980" TargetMode="External"/><Relationship Id="rId51" Type="http://schemas.openxmlformats.org/officeDocument/2006/relationships/hyperlink" Target="https://arxiv.org/abs/1704.04861" TargetMode="External"/><Relationship Id="rId47" Type="http://schemas.openxmlformats.org/officeDocument/2006/relationships/hyperlink" Target="https://doi.org/10.1016/j.compag.2018.01.009" TargetMode="External"/><Relationship Id="rId52" Type="http://schemas.openxmlformats.org/officeDocument/2006/relationships/hyperlink" Target="https://doi.org/10.1016/j.compag.2018.02.016" TargetMode="External"/><Relationship Id="rId48" Type="http://schemas.openxmlformats.org/officeDocument/2006/relationships/hyperlink" Target="https://doi.org/10.1021/jf000404a" TargetMode="External"/><Relationship Id="rId42" Type="http://schemas.openxmlformats.org/officeDocument/2006/relationships/hyperlink" Target="https://doi.org/10.1021/jf049144d" TargetMode="External"/><Relationship Id="rId62" Type="http://schemas.openxmlformats.org/officeDocument/2006/relationships/hyperlink" Target="https://doi.org/10.1023/A:1008942012299" TargetMode="External"/><Relationship Id="rId46" Type="http://schemas.openxmlformats.org/officeDocument/2006/relationships/hyperlink" Target="https://doi.org/10.1080/10408398.2010.543495" TargetMode="External"/><Relationship Id="rId39" Type="http://schemas.openxmlformats.org/officeDocument/2006/relationships/hyperlink" Target="https://doi.org/10.1093/ajcn/71.5.1062" TargetMode="External"/><Relationship Id="rId45" Type="http://schemas.openxmlformats.org/officeDocument/2006/relationships/hyperlink" Target="https://doi.org/10.1109/ACCESS.2018.2831228" TargetMode="External"/><Relationship Id="rId44" Type="http://schemas.openxmlformats.org/officeDocument/2006/relationships/hyperlink" Target="https://doi.org/10.1109/CVPR.2009.5206848" TargetMode="External"/><Relationship Id="rId63" Type="http://schemas.openxmlformats.org/officeDocument/2006/relationships/hyperlink" Target="https://doi.org/10.1109/CVPR.2016.308" TargetMode="External"/><Relationship Id="rId49" Type="http://schemas.openxmlformats.org/officeDocument/2006/relationships/hyperlink" Target="https://doi.org/10.1109/CVPR.2016.90" TargetMode="External"/><Relationship Id="rId40" Type="http://schemas.openxmlformats.org/officeDocument/2006/relationships/hyperlink" Target="https://doi.org/10.1186/s13640-016-0076-0" TargetMode="External"/><Relationship Id="rId57" Type="http://schemas.openxmlformats.org/officeDocument/2006/relationships/hyperlink" Target="https://doi.org/10.1590/S0103-50532003000200006" TargetMode="External"/><Relationship Id="rId41" Type="http://schemas.openxmlformats.org/officeDocument/2006/relationships/hyperlink" Target="https://doi.org/10.3233/SW-130106" TargetMode="External"/><Relationship Id="rId56" Type="http://schemas.openxmlformats.org/officeDocument/2006/relationships/hyperlink" Target="https://doi.org/10.3389/fpls.2016.01419" TargetMode="External"/><Relationship Id="rId60" Type="http://schemas.openxmlformats.org/officeDocument/2006/relationships/hyperlink" Target="https://doi.org/10.3390/plants8110468" TargetMode="External"/><Relationship Id="rId59" Type="http://schemas.openxmlformats.org/officeDocument/2006/relationships/hyperlink" Target="https://fastapi.tiangolo.com" TargetMode="External"/><Relationship Id="rId54" Type="http://schemas.openxmlformats.org/officeDocument/2006/relationships/hyperlink" Target="https://langchain-ai.github.io/langgraph/" TargetMode="External"/><Relationship Id="rId58" Type="http://schemas.openxmlformats.org/officeDocument/2006/relationships/hyperlink" Target="https://papers.nips.cc/paper/2019/hash/bdbca288fee7f92f2bfa9f7012727740-Abstract.html" TargetMode="External"/><Relationship Id="rId55" Type="http://schemas.openxmlformats.org/officeDocument/2006/relationships/hyperlink" Target="https://playwright.dev" TargetMode="External"/><Relationship Id="rId64" Type="http://schemas.openxmlformats.org/officeDocument/2006/relationships/hyperlink" Target="https://proceedings.mlr.press/v97/tan19a.html" TargetMode="External"/><Relationship Id="rId43" Type="http://schemas.openxmlformats.org/officeDocument/2006/relationships/hyperlink" Target="https://www.cropontology.org" TargetMode="External"/><Relationship Id="rId50" Type="http://schemas.openxmlformats.org/officeDocument/2006/relationships/hyperlink" Target="https://www.w3.org/Submission/SWRL/" TargetMode="External"/><Relationship Id="rId65" Type="http://schemas.openxmlformats.org/officeDocument/2006/relationships/hyperlink" Target="https://www.w3.org/TR/owl2-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PomeGuard: A Multi-Agent Autonomous System for Non-Destructive Phytochemical Inference and Disease Classification in Bhagwa Pomegranate Horticulture</dc:title>
  <dc:creator>Aryan Madhav Jadile; Umesh Dnyanoba Wakadkar; Suvarna Bahir (Corresponding Author); Pushkar Dattatray Shedge; Shreekar Santos Varpe</dc:creator>
  <cp:keywords/>
  <dcterms:created xsi:type="dcterms:W3CDTF">2026-04-27T12:12:53Z</dcterms:created>
  <dcterms:modified xsi:type="dcterms:W3CDTF">2026-04-27T12:12:53Z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Maharashtra’s Bhagwa pomegranate commands premium prices in domestic and export markets when its internal phytochemical quality—principally Anthocyanins, Punicalagins, and Ellagic Acid—remains intact postharvest. Four fungal and bacterial pathogens—Bacterial Blight (Telya), Anthracnose, Cercospora Fruit Spot, and Alternaria Fruit Spot—cause 30–40% annual yield and quality losses, degrading these compounds through biochemical cascades that are invisible to unaided external inspection. Current quality assessment relies on destructive laboratory analysis (HPLC), which takes 48–72 hours, costs Rs.~1,200–2,500 per sample, and operates at timescales incompatible with field-level decision-making during harvest. PomeGuard is a non-destructive agricultural intelligence system that infers internal phytochemical compound status from standard fruit imagery and manually supplied environmental readings, without laboratory sampling. The system integrates three technical layers: a fine-tuned EfficientNetB0 convolutional network for disease classification; an OWL2DL knowledge ontology encoding expert-validated biochemical degradation relationships between disease, environmental stress, and phytochemical compound status; and a LangGraph StateGraph multi-agent architecture providing stateful, fault-tolerant orchestration of the full inference pipeline. Evaluated on the 5,099-image Pakruddin et al. Karnataka pomegranate dataset across five disease categories, the vision component achieved an overall F1-score of 98.9%, with per-class F1 ranging from 98.3% (Cercospora Fruit Spot) to 99.7% (Healthy) and per-class AUC above 0.996 on all classes. The ontology-driven phytochemical inference layer translates disease and environmental signals into degradation estimates for Anthocyanins, Punicalagins, and Ellagic Acid without any laboratory measurement. Three principal contributions are presented: (1) a fine-tuned EfficientNetB0 pipeline achieving 98.9% overall F1-score across five pomegranate disease classes; (2) an OWL2DL ontology with domain-expert-encoded inference rules mapping disease severity and environmental stress to phytochemical compound degradation profiles; and (3) a LangGraph StateGraph multi-agent architecture providing modular, stateful coordination of vision, environmental, ontological, and reporting agents into a single non-destructive inference pipeline.</vt:lpwstr>
  </property>
  <property fmtid="{D5CDD505-2E9C-101B-9397-08002B2CF9AE}" pid="3" name="date">
    <vt:lpwstr>April 2026</vt:lpwstr>
  </property>
</Properties>
</file>