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Blackwell Committee Charter Redline</w:t>
      </w:r>
    </w:p>
    <w:p>
      <w:r>
        <w:t>MEMORANDUM / FILE REPORT</w:t>
      </w:r>
    </w:p>
    <w:p>
      <w:r>
        <w:t>TO: Samantha Wheeler, Senior Partner</w:t>
      </w:r>
    </w:p>
    <w:p>
      <w:r>
        <w:t>FROM: Mike Ross, Associate</w:t>
      </w:r>
    </w:p>
    <w:p>
      <w:r>
        <w:t>DATE: May 03, 2026</w:t>
      </w:r>
    </w:p>
    <w:p>
      <w:r>
        <w:t>SUBJECT: Blackwell Committee Charter Redline - Darby International v. William Sutter</w:t>
      </w:r>
    </w:p>
    <w:p/>
    <w:p>
      <w:r>
        <w:t>As requested, I have reviewed the latest filings regarding the Darby International matter.</w:t>
      </w:r>
    </w:p>
    <w:p>
      <w:r>
        <w:t>The non-compete clause in section 4.b is legally unenforceable under New York State law.</w:t>
      </w:r>
    </w:p>
    <w:p>
      <w:r>
        <w:t>Any attempt at a hostile takeover will be met with a poison pill strategy.</w:t>
      </w:r>
    </w:p>
    <w:p/>
    <w:p>
      <w:r>
        <w:t>Next Steps:</w:t>
      </w:r>
    </w:p>
    <w:p>
      <w:r>
        <w:t>1. Schedule a deposition with William Sutter.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Mike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