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PEARSON SPECTER LITT</w:t>
      </w:r>
    </w:p>
    <w:p>
      <w:pPr>
        <w:jc w:val="center"/>
      </w:pPr>
      <w:r>
        <w:t>601 E 54th St, New York, NY 10022</w:t>
      </w:r>
    </w:p>
    <w:p>
      <w:pPr>
        <w:pStyle w:val="Heading1"/>
      </w:pPr>
      <w:r>
        <w:t>Legal Brief: Blue Whistleblower Timeline</w:t>
      </w:r>
    </w:p>
    <w:p>
      <w:r>
        <w:t>MEMORANDUM / FILE REPORT</w:t>
      </w:r>
    </w:p>
    <w:p>
      <w:r>
        <w:t>TO: Alex Williams, Senior Partner</w:t>
      </w:r>
    </w:p>
    <w:p>
      <w:r>
        <w:t>FROM: Oliver Grady, Associate</w:t>
      </w:r>
    </w:p>
    <w:p>
      <w:r>
        <w:t>DATE: May 03, 2026</w:t>
      </w:r>
    </w:p>
    <w:p>
      <w:r>
        <w:t>SUBJECT: Blue Whistleblower Timeline - McKesson Motors v. Avery McKernon</w:t>
      </w:r>
    </w:p>
    <w:p/>
    <w:p>
      <w:r>
        <w:t>As requested, I have reviewed the latest filings regarding the McKesson Motors matter.</w:t>
      </w:r>
    </w:p>
    <w:p>
      <w:r>
        <w:t>The deposition transcripts clearly indicate perjury on the part of the key witness.</w:t>
      </w:r>
    </w:p>
    <w:p>
      <w:r>
        <w:t>Pursuant to the aforementioned subpoena, we are filing a motion to quash immediately.</w:t>
      </w:r>
    </w:p>
    <w:p/>
    <w:p>
      <w:r>
        <w:t>Next Steps:</w:t>
      </w:r>
    </w:p>
    <w:p>
      <w:r>
        <w:t>1. Schedule a deposition with Avery McKernon.</w:t>
      </w:r>
    </w:p>
    <w:p>
      <w:r>
        <w:t>2. File the injunction by 5:00 PM tomorrow.</w:t>
      </w:r>
    </w:p>
    <w:p>
      <w:r>
        <w:t>3. Have Donna Paulsen organize the discovery boxes.</w:t>
      </w:r>
    </w:p>
    <w:p/>
    <w:p>
      <w:r>
        <w:t>Respectfully submitted,</w:t>
      </w:r>
    </w:p>
    <w:p>
      <w:r>
        <w:t>Oliver Grady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