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Hudson Tax Allocation Notes</w:t>
      </w:r>
    </w:p>
    <w:p>
      <w:r>
        <w:t>MEMORANDUM / FILE REPORT</w:t>
      </w:r>
    </w:p>
    <w:p>
      <w:r>
        <w:t>TO: Jessica Pearson, Senior Partner</w:t>
      </w:r>
    </w:p>
    <w:p>
      <w:r>
        <w:t>FROM: Mike Ross, Associate</w:t>
      </w:r>
    </w:p>
    <w:p>
      <w:r>
        <w:t>DATE: May 03, 2026</w:t>
      </w:r>
    </w:p>
    <w:p>
      <w:r>
        <w:t>SUBJECT: Hudson Tax Allocation Notes - Rand Kaldor v. Tony Gionopoulos</w:t>
      </w:r>
    </w:p>
    <w:p/>
    <w:p>
      <w:r>
        <w:t>As requested, I have reviewed the latest filings regarding the Rand Kaldor matter.</w:t>
      </w:r>
    </w:p>
    <w:p>
      <w:r>
        <w:t>Any attempt at a hostile takeover will be met with a poison pill strategy.</w:t>
      </w:r>
    </w:p>
    <w:p>
      <w:r>
        <w:t>The plaintiff's claims are entirely without merit and constitute a frivolous abuse of the judicial process.</w:t>
      </w:r>
    </w:p>
    <w:p/>
    <w:p>
      <w:r>
        <w:t>Next Steps:</w:t>
      </w:r>
    </w:p>
    <w:p>
      <w:r>
        <w:t>1. Schedule a deposition with Tony Gionopoulos.</w:t>
      </w:r>
    </w:p>
    <w:p>
      <w:r>
        <w:t>2. File the injunction by 5:00 PM tomorrow.</w:t>
      </w:r>
    </w:p>
    <w:p>
      <w:r>
        <w:t>3. Have Gretchen Bodinski organize the discovery boxes.</w:t>
      </w:r>
    </w:p>
    <w:p/>
    <w:p>
      <w:r>
        <w:t>Respectfully submitted,</w:t>
      </w:r>
    </w:p>
    <w:p>
      <w:r>
        <w:t>Mike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