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PEARSON SPECTER LITT</w:t>
      </w:r>
    </w:p>
    <w:p>
      <w:pPr>
        <w:jc w:val="center"/>
      </w:pPr>
      <w:r>
        <w:t>601 E 54th St, New York, NY 10022</w:t>
      </w:r>
    </w:p>
    <w:p>
      <w:pPr>
        <w:pStyle w:val="Heading1"/>
      </w:pPr>
      <w:r>
        <w:t>Legal Brief: Oakwell Affidavit Digest</w:t>
      </w:r>
    </w:p>
    <w:p>
      <w:r>
        <w:t>MEMORANDUM / FILE REPORT</w:t>
      </w:r>
    </w:p>
    <w:p>
      <w:r>
        <w:t>TO: Jessica Pearson, Senior Partner</w:t>
      </w:r>
    </w:p>
    <w:p>
      <w:r>
        <w:t>FROM: Oliver Grady, Associate</w:t>
      </w:r>
    </w:p>
    <w:p>
      <w:r>
        <w:t>DATE: May 03, 2026</w:t>
      </w:r>
    </w:p>
    <w:p>
      <w:r>
        <w:t>SUBJECT: Oakwell Affidavit Digest - Rand Kaldor v. Kevin Miller</w:t>
      </w:r>
    </w:p>
    <w:p/>
    <w:p>
      <w:r>
        <w:t>As requested, I have reviewed the latest filings regarding the Rand Kaldor matter.</w:t>
      </w:r>
    </w:p>
    <w:p>
      <w:r>
        <w:t>The non-compete clause in section 4.b is legally unenforceable under New York State law.</w:t>
      </w:r>
    </w:p>
    <w:p>
      <w:r>
        <w:t>We motion for a summary judgment on the grounds that there is no genuine dispute as to any material fact.</w:t>
      </w:r>
    </w:p>
    <w:p/>
    <w:p>
      <w:r>
        <w:t>Next Steps:</w:t>
      </w:r>
    </w:p>
    <w:p>
      <w:r>
        <w:t>1. Schedule a deposition with Kevin Miller.</w:t>
      </w:r>
    </w:p>
    <w:p>
      <w:r>
        <w:t>2. File the injunction by 5:00 PM tomorrow.</w:t>
      </w:r>
    </w:p>
    <w:p>
      <w:r>
        <w:t>3. Have Gretchen Bodinski organize the discovery boxes.</w:t>
      </w:r>
    </w:p>
    <w:p/>
    <w:p>
      <w:r>
        <w:t>Respectfully submitted,</w:t>
      </w:r>
    </w:p>
    <w:p>
      <w:r>
        <w:t>Oliver Grady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