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Sterling Purchase Agreement Markup</w:t>
      </w:r>
    </w:p>
    <w:p>
      <w:r>
        <w:t>MEMORANDUM / FILE REPORT</w:t>
      </w:r>
    </w:p>
    <w:p>
      <w:r>
        <w:t>TO: Jessica Pearson, Senior Partner</w:t>
      </w:r>
    </w:p>
    <w:p>
      <w:r>
        <w:t>FROM: Oliver Grady, Associate</w:t>
      </w:r>
    </w:p>
    <w:p>
      <w:r>
        <w:t>DATE: May 03, 2026</w:t>
      </w:r>
    </w:p>
    <w:p>
      <w:r>
        <w:t>SUBJECT: Sterling Purchase Agreement Markup - Rand Kaldor v. Edward Darby</w:t>
      </w:r>
    </w:p>
    <w:p/>
    <w:p>
      <w:r>
        <w:t>As requested, I have reviewed the latest filings regarding the Rand Kaldor matter.</w:t>
      </w:r>
    </w:p>
    <w:p>
      <w:r>
        <w:t>We have uncovered a discrepancy in the escrow accounts suggesting fraudulent conveyance.</w:t>
      </w:r>
    </w:p>
    <w:p>
      <w:r>
        <w:t>Our client explicitly denies any breach of fiduciary duty or misappropriation of corporate assets.</w:t>
      </w:r>
    </w:p>
    <w:p/>
    <w:p>
      <w:r>
        <w:t>Next Steps:</w:t>
      </w:r>
    </w:p>
    <w:p>
      <w:r>
        <w:t>1. Schedule a deposition with Edward Darby.</w:t>
      </w:r>
    </w:p>
    <w:p>
      <w:r>
        <w:t>2. File the injunction by 5:00 PM tomorrow.</w:t>
      </w:r>
    </w:p>
    <w:p>
      <w:r>
        <w:t>3. Have Donna Paulsen organize the discovery boxes.</w:t>
      </w:r>
    </w:p>
    <w:p/>
    <w:p>
      <w:r>
        <w:t>Respectfully submitted,</w:t>
      </w:r>
    </w:p>
    <w:p>
      <w:r>
        <w:t>Oliver Grady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